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4E398" w14:textId="18D096DE" w:rsidR="000E233C" w:rsidRPr="0006291F" w:rsidRDefault="000E233C" w:rsidP="00E76739">
      <w:pPr>
        <w:spacing w:after="0" w:line="240" w:lineRule="auto"/>
        <w:jc w:val="both"/>
        <w:rPr>
          <w:rFonts w:ascii="Calibri" w:eastAsia="SimSun" w:hAnsi="Calibri" w:cs="Times New Roman"/>
          <w:b/>
          <w:bCs/>
          <w:lang w:val="en-GB" w:eastAsia="zh-CN"/>
        </w:rPr>
      </w:pPr>
      <w:bookmarkStart w:id="0" w:name="_GoBack"/>
      <w:bookmarkEnd w:id="0"/>
      <w:r w:rsidRPr="000E233C">
        <w:rPr>
          <w:b/>
          <w:lang w:val="en-US"/>
        </w:rPr>
        <w:t>Appendix 8.</w:t>
      </w:r>
      <w:r>
        <w:rPr>
          <w:b/>
          <w:lang w:val="en-US"/>
        </w:rPr>
        <w:t xml:space="preserve">1: Information flows for all EU </w:t>
      </w:r>
      <w:r w:rsidR="009B0247">
        <w:rPr>
          <w:b/>
          <w:lang w:val="en-US"/>
        </w:rPr>
        <w:t>Member States</w:t>
      </w:r>
      <w:r w:rsidR="0006291F">
        <w:rPr>
          <w:rStyle w:val="FootnoteReference"/>
          <w:rFonts w:ascii="Calibri" w:eastAsia="SimSun" w:hAnsi="Calibri" w:cs="Times New Roman"/>
          <w:b/>
          <w:bCs/>
          <w:lang w:val="en-GB" w:eastAsia="zh-CN"/>
        </w:rPr>
        <w:footnoteReference w:id="1"/>
      </w:r>
    </w:p>
    <w:p w14:paraId="7F8C1A4D" w14:textId="77777777" w:rsidR="000E233C" w:rsidRDefault="000E233C" w:rsidP="00E76739">
      <w:pPr>
        <w:spacing w:after="0" w:line="240" w:lineRule="auto"/>
        <w:jc w:val="both"/>
        <w:rPr>
          <w:rFonts w:ascii="Calibri" w:eastAsia="SimSun" w:hAnsi="Calibri" w:cs="Times New Roman"/>
          <w:b/>
          <w:bCs/>
          <w:lang w:val="en-GB" w:eastAsia="zh-CN"/>
        </w:rPr>
      </w:pPr>
    </w:p>
    <w:p w14:paraId="3CDA053E"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.5.1 </w:t>
      </w:r>
      <w:r w:rsidR="00E76739" w:rsidRPr="00E76739">
        <w:rPr>
          <w:rFonts w:ascii="Calibri" w:eastAsia="SimSun" w:hAnsi="Calibri" w:cs="Times New Roman"/>
          <w:b/>
          <w:bCs/>
          <w:lang w:val="en-GB" w:eastAsia="zh-CN"/>
        </w:rPr>
        <w:tab/>
        <w:t>Austria</w:t>
      </w:r>
    </w:p>
    <w:p w14:paraId="1307EC60" w14:textId="379DD77E"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When the Austrian FIU receives an STR related to ML it will analyse it and – </w:t>
      </w:r>
      <w:r w:rsidRPr="00E76739">
        <w:rPr>
          <w:rFonts w:ascii="Calibri" w:eastAsia="Calibri" w:hAnsi="Calibri" w:cs="Times New Roman"/>
          <w:bCs/>
          <w:lang w:val="en-GB" w:eastAsia="zh-CN"/>
        </w:rPr>
        <w:t xml:space="preserve">depending on the result of analysis – it will conduct a criminal investigation under the supervision of the competent public prosecutor or it will forward it to other departments or </w:t>
      </w:r>
      <w:r w:rsidR="003348CB" w:rsidRPr="00E76739">
        <w:rPr>
          <w:rFonts w:ascii="Calibri" w:eastAsia="Calibri" w:hAnsi="Calibri" w:cs="Times New Roman"/>
          <w:bCs/>
          <w:lang w:val="en-GB" w:eastAsia="zh-CN"/>
        </w:rPr>
        <w:t>organi</w:t>
      </w:r>
      <w:r w:rsidR="003348CB">
        <w:rPr>
          <w:rFonts w:ascii="Calibri" w:eastAsia="Calibri" w:hAnsi="Calibri" w:cs="Times New Roman"/>
          <w:bCs/>
          <w:lang w:val="en-GB" w:eastAsia="zh-CN"/>
        </w:rPr>
        <w:t>z</w:t>
      </w:r>
      <w:r w:rsidR="003348CB" w:rsidRPr="00E76739">
        <w:rPr>
          <w:rFonts w:ascii="Calibri" w:eastAsia="Calibri" w:hAnsi="Calibri" w:cs="Times New Roman"/>
          <w:bCs/>
          <w:lang w:val="en-GB" w:eastAsia="zh-CN"/>
        </w:rPr>
        <w:t xml:space="preserve">ational </w:t>
      </w:r>
      <w:r w:rsidRPr="00E76739">
        <w:rPr>
          <w:rFonts w:ascii="Calibri" w:eastAsia="Calibri" w:hAnsi="Calibri" w:cs="Times New Roman"/>
          <w:bCs/>
          <w:lang w:val="en-GB" w:eastAsia="zh-CN"/>
        </w:rPr>
        <w:t xml:space="preserve">units of the Federal </w:t>
      </w:r>
      <w:r w:rsidR="003348CB">
        <w:rPr>
          <w:rFonts w:ascii="Calibri" w:eastAsia="Calibri" w:hAnsi="Calibri" w:cs="Times New Roman"/>
          <w:bCs/>
          <w:lang w:val="en-GB" w:eastAsia="zh-CN"/>
        </w:rPr>
        <w:t>p</w:t>
      </w:r>
      <w:r w:rsidR="003348CB" w:rsidRPr="00E76739">
        <w:rPr>
          <w:rFonts w:ascii="Calibri" w:eastAsia="Calibri" w:hAnsi="Calibri" w:cs="Times New Roman"/>
          <w:bCs/>
          <w:lang w:val="en-GB" w:eastAsia="zh-CN"/>
        </w:rPr>
        <w:t xml:space="preserve">olice </w:t>
      </w:r>
      <w:r w:rsidRPr="00E76739">
        <w:rPr>
          <w:rFonts w:ascii="Calibri" w:eastAsia="Calibri" w:hAnsi="Calibri" w:cs="Times New Roman"/>
          <w:bCs/>
          <w:lang w:val="en-GB" w:eastAsia="zh-CN"/>
        </w:rPr>
        <w:t>for investigation</w:t>
      </w:r>
      <w:r w:rsidR="003348CB">
        <w:rPr>
          <w:rFonts w:ascii="Calibri" w:eastAsia="Calibri" w:hAnsi="Calibri" w:cs="Times New Roman"/>
          <w:bCs/>
          <w:lang w:val="en-GB" w:eastAsia="zh-CN"/>
        </w:rPr>
        <w:t>.</w:t>
      </w:r>
      <w:r w:rsidRPr="00E76739">
        <w:rPr>
          <w:rFonts w:ascii="Calibri" w:eastAsia="Calibri" w:hAnsi="Calibri" w:cs="Times New Roman"/>
          <w:bCs/>
          <w:vertAlign w:val="superscript"/>
          <w:lang w:val="en-GB" w:eastAsia="zh-CN"/>
        </w:rPr>
        <w:footnoteReference w:id="2"/>
      </w:r>
      <w:r w:rsidRPr="00E76739">
        <w:rPr>
          <w:rFonts w:ascii="Calibri" w:eastAsia="Calibri" w:hAnsi="Calibri" w:cs="Times New Roman"/>
          <w:bCs/>
          <w:lang w:val="en-GB" w:eastAsia="zh-CN"/>
        </w:rPr>
        <w:t xml:space="preserve"> </w:t>
      </w:r>
      <w:r w:rsidRPr="00E76739">
        <w:rPr>
          <w:rFonts w:ascii="Calibri" w:eastAsia="Calibri" w:hAnsi="Calibri" w:cs="Times New Roman"/>
          <w:lang w:val="en-GB" w:eastAsia="zh-CN"/>
        </w:rPr>
        <w:t xml:space="preserve">In most cases, the FIU conducts the investigation, but depending on its competence and on the territorial competence of the police, the FIU can forward the investigation to other units of the Federal </w:t>
      </w:r>
      <w:r w:rsidR="003348CB">
        <w:rPr>
          <w:rFonts w:ascii="Calibri" w:eastAsia="Calibri" w:hAnsi="Calibri" w:cs="Times New Roman"/>
          <w:lang w:val="en-GB" w:eastAsia="zh-CN"/>
        </w:rPr>
        <w:t>c</w:t>
      </w:r>
      <w:r w:rsidR="003348CB" w:rsidRPr="00E76739">
        <w:rPr>
          <w:rFonts w:ascii="Calibri" w:eastAsia="Calibri" w:hAnsi="Calibri" w:cs="Times New Roman"/>
          <w:lang w:val="en-GB" w:eastAsia="zh-CN"/>
        </w:rPr>
        <w:t xml:space="preserve">riminal </w:t>
      </w:r>
      <w:r w:rsidR="003348CB">
        <w:rPr>
          <w:rFonts w:ascii="Calibri" w:eastAsia="Calibri" w:hAnsi="Calibri" w:cs="Times New Roman"/>
          <w:lang w:val="en-GB" w:eastAsia="zh-CN"/>
        </w:rPr>
        <w:t>p</w:t>
      </w:r>
      <w:r w:rsidR="003348CB"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or to the local police</w:t>
      </w:r>
      <w:r w:rsidR="003348CB">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3"/>
      </w:r>
      <w:r w:rsidRPr="00E76739">
        <w:rPr>
          <w:rFonts w:ascii="Calibri" w:eastAsia="Calibri" w:hAnsi="Calibri" w:cs="Times New Roman"/>
          <w:lang w:val="en-GB" w:eastAsia="zh-CN"/>
        </w:rPr>
        <w:t xml:space="preserve"> According to the FATF (2009), the Austrian FIU</w:t>
      </w:r>
      <w:r w:rsidR="003348CB">
        <w:rPr>
          <w:rFonts w:ascii="Calibri" w:eastAsia="Calibri" w:hAnsi="Calibri" w:cs="Times New Roman"/>
          <w:lang w:val="en-GB" w:eastAsia="zh-CN"/>
        </w:rPr>
        <w:t>’</w:t>
      </w:r>
      <w:r w:rsidRPr="00E76739">
        <w:rPr>
          <w:rFonts w:ascii="Calibri" w:eastAsia="Calibri" w:hAnsi="Calibri" w:cs="Times New Roman"/>
          <w:lang w:val="en-GB" w:eastAsia="zh-CN"/>
        </w:rPr>
        <w:t xml:space="preserve">s ML investigations are divided into </w:t>
      </w:r>
      <w:r w:rsidR="003348CB">
        <w:rPr>
          <w:rFonts w:ascii="Calibri" w:eastAsia="Calibri" w:hAnsi="Calibri" w:cs="Times New Roman"/>
          <w:lang w:val="en-GB" w:eastAsia="zh-CN"/>
        </w:rPr>
        <w:t>three</w:t>
      </w:r>
      <w:r w:rsidR="003348CB"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areas: ML through the use of offshore, ML through fraud, and ML related to, or associated with, former Member States of the USSR</w:t>
      </w:r>
      <w:r w:rsidR="003348CB">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4"/>
      </w:r>
    </w:p>
    <w:p w14:paraId="3203D1FA" w14:textId="7991DD7C"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reception of an STR implies the beginning of a police or judicial investigation. When the reporting entities indicate that the STR is related to FT, the FIU immediately forwards it to the BVT (Austrian Federal Agency for State Protection and Counter-Terrorism). The BVT is a law enforcement authority, established within the Ministry of Interior</w:t>
      </w:r>
      <w:r w:rsidR="00221B8F">
        <w:rPr>
          <w:rFonts w:ascii="Calibri" w:eastAsia="Calibri" w:hAnsi="Calibri" w:cs="Times New Roman"/>
          <w:lang w:val="en-GB" w:eastAsia="zh-CN"/>
        </w:rPr>
        <w:t>,</w:t>
      </w:r>
      <w:r w:rsidRPr="00E76739">
        <w:rPr>
          <w:rFonts w:ascii="Calibri" w:eastAsia="Calibri" w:hAnsi="Calibri" w:cs="Times New Roman"/>
          <w:lang w:val="en-GB" w:eastAsia="zh-CN"/>
        </w:rPr>
        <w:t xml:space="preserve"> which is responsible for investigating cases related to FT that originate from an STR (and are thereby forwarded by the A-FIU) or from its own sources</w:t>
      </w:r>
      <w:r w:rsidR="00221B8F">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5"/>
      </w:r>
      <w:r w:rsidRPr="00E76739">
        <w:rPr>
          <w:rFonts w:ascii="Calibri" w:eastAsia="Calibri" w:hAnsi="Calibri" w:cs="Times New Roman"/>
          <w:lang w:val="en-GB" w:eastAsia="zh-CN"/>
        </w:rPr>
        <w:t xml:space="preserve"> The BVT has </w:t>
      </w:r>
      <w:r w:rsidR="00221B8F">
        <w:rPr>
          <w:rFonts w:ascii="Calibri" w:eastAsia="Calibri" w:hAnsi="Calibri" w:cs="Times New Roman"/>
          <w:lang w:val="en-GB" w:eastAsia="zh-CN"/>
        </w:rPr>
        <w:t>nine</w:t>
      </w:r>
      <w:r w:rsidR="00221B8F"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regional departments and conducts its criminal investigation under the supervision of the PPO. According to FATF (2009</w:t>
      </w:r>
      <w:r w:rsidR="004E214D">
        <w:rPr>
          <w:rFonts w:ascii="Calibri" w:eastAsia="Calibri" w:hAnsi="Calibri" w:cs="Times New Roman"/>
          <w:lang w:val="en-GB" w:eastAsia="zh-CN"/>
        </w:rPr>
        <w:t>c</w:t>
      </w:r>
      <w:r w:rsidRPr="00E76739">
        <w:rPr>
          <w:rFonts w:ascii="Calibri" w:eastAsia="Calibri" w:hAnsi="Calibri" w:cs="Times New Roman"/>
          <w:lang w:val="en-GB" w:eastAsia="zh-CN"/>
        </w:rPr>
        <w:t>), the BVT regularly uses financial investigations with the purpose of understanding the structure of terrorist groups</w:t>
      </w:r>
      <w:r w:rsidR="00221B8F">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6"/>
      </w:r>
    </w:p>
    <w:p w14:paraId="579B3903" w14:textId="6BEACE5D" w:rsidR="00E76739" w:rsidRPr="00E76739" w:rsidRDefault="00BA07A1" w:rsidP="00C9097D">
      <w:pPr>
        <w:spacing w:after="0" w:line="240" w:lineRule="auto"/>
        <w:jc w:val="center"/>
        <w:rPr>
          <w:rFonts w:ascii="Calibri" w:eastAsia="SimSun" w:hAnsi="Calibri" w:cs="Times New Roman"/>
          <w:b/>
          <w:lang w:val="en-GB" w:eastAsia="zh-CN"/>
        </w:rPr>
      </w:pPr>
      <w:bookmarkStart w:id="1" w:name="_Toc350517092"/>
      <w:r>
        <w:rPr>
          <w:rFonts w:ascii="Calibri" w:eastAsia="SimSun" w:hAnsi="Calibri" w:cs="Times New Roman"/>
          <w:b/>
          <w:lang w:val="en-GB" w:eastAsia="zh-CN"/>
        </w:rPr>
        <w:t>Figure 8</w:t>
      </w:r>
      <w:r w:rsidR="00E76739" w:rsidRPr="00E76739">
        <w:rPr>
          <w:rFonts w:ascii="Calibri" w:eastAsia="SimSun" w:hAnsi="Calibri" w:cs="Times New Roman"/>
          <w:b/>
          <w:lang w:val="en-GB" w:eastAsia="zh-CN"/>
        </w:rPr>
        <w:t>.</w:t>
      </w:r>
      <w:r w:rsidR="003B7679">
        <w:rPr>
          <w:rFonts w:ascii="Calibri" w:eastAsia="SimSun" w:hAnsi="Calibri" w:cs="Times New Roman"/>
          <w:b/>
          <w:lang w:val="en-GB" w:eastAsia="zh-CN"/>
        </w:rPr>
        <w:t>5</w:t>
      </w:r>
      <w:r w:rsidR="00E76739" w:rsidRPr="00E76739">
        <w:rPr>
          <w:rFonts w:ascii="Calibri" w:eastAsia="SimSun" w:hAnsi="Calibri" w:cs="Times New Roman"/>
          <w:b/>
          <w:lang w:val="en-GB" w:eastAsia="zh-CN"/>
        </w:rPr>
        <w:t>: AML/CTF Information flows in Austria</w:t>
      </w:r>
      <w:bookmarkEnd w:id="1"/>
    </w:p>
    <w:p w14:paraId="78E71615" w14:textId="77777777" w:rsidR="00E76739" w:rsidRPr="00E76739" w:rsidRDefault="00E76739" w:rsidP="00E76739">
      <w:pPr>
        <w:spacing w:after="0" w:line="240" w:lineRule="auto"/>
        <w:jc w:val="both"/>
        <w:rPr>
          <w:rFonts w:ascii="Calibri" w:eastAsia="Calibri" w:hAnsi="Calibri" w:cs="Times New Roman"/>
          <w:lang w:val="en-GB" w:eastAsia="zh-CN"/>
        </w:rPr>
      </w:pPr>
      <w:r w:rsidRPr="00E76739">
        <w:rPr>
          <w:rFonts w:ascii="Calibri" w:eastAsia="Calibri" w:hAnsi="Calibri" w:cs="Times New Roman"/>
          <w:noProof/>
          <w:lang w:val="en-US" w:eastAsia="en-US"/>
        </w:rPr>
        <w:drawing>
          <wp:inline distT="0" distB="0" distL="0" distR="0" wp14:anchorId="2BDC6752" wp14:editId="41747899">
            <wp:extent cx="5915025" cy="3086100"/>
            <wp:effectExtent l="0" t="0" r="9525" b="0"/>
            <wp:docPr id="23" name="Picture 140" descr="AustriaInformationFlo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ustriaInformationFlow (1).jpeg"/>
                    <pic:cNvPicPr>
                      <a:picLocks noChangeAspect="1" noChangeArrowheads="1"/>
                    </pic:cNvPicPr>
                  </pic:nvPicPr>
                  <pic:blipFill>
                    <a:blip r:embed="rId9" cstate="print">
                      <a:extLst>
                        <a:ext uri="{28A0092B-C50C-407E-A947-70E740481C1C}">
                          <a14:useLocalDpi xmlns:a14="http://schemas.microsoft.com/office/drawing/2010/main" val="0"/>
                        </a:ext>
                      </a:extLst>
                    </a:blip>
                    <a:srcRect l="9776" t="7819" r="6410" b="37117"/>
                    <a:stretch>
                      <a:fillRect/>
                    </a:stretch>
                  </pic:blipFill>
                  <pic:spPr bwMode="auto">
                    <a:xfrm>
                      <a:off x="0" y="0"/>
                      <a:ext cx="5915025" cy="3086100"/>
                    </a:xfrm>
                    <a:prstGeom prst="rect">
                      <a:avLst/>
                    </a:prstGeom>
                    <a:noFill/>
                    <a:ln>
                      <a:noFill/>
                    </a:ln>
                  </pic:spPr>
                </pic:pic>
              </a:graphicData>
            </a:graphic>
          </wp:inline>
        </w:drawing>
      </w:r>
    </w:p>
    <w:p w14:paraId="54471658" w14:textId="36C57C40" w:rsidR="00E76739" w:rsidRPr="003E5910" w:rsidRDefault="00E76739" w:rsidP="00E76739">
      <w:pPr>
        <w:spacing w:after="0" w:line="240" w:lineRule="auto"/>
        <w:jc w:val="both"/>
        <w:rPr>
          <w:rFonts w:ascii="Calibri" w:eastAsia="Calibri" w:hAnsi="Calibri" w:cs="Times New Roman"/>
          <w:sz w:val="20"/>
          <w:szCs w:val="20"/>
          <w:lang w:val="en-GB" w:eastAsia="zh-CN"/>
        </w:rPr>
      </w:pPr>
      <w:r w:rsidRPr="00E76739">
        <w:rPr>
          <w:rFonts w:ascii="Calibri" w:eastAsia="Calibri" w:hAnsi="Calibri" w:cs="Times New Roman"/>
          <w:i/>
          <w:sz w:val="20"/>
          <w:szCs w:val="20"/>
          <w:lang w:val="en-GB" w:eastAsia="zh-CN"/>
        </w:rPr>
        <w:lastRenderedPageBreak/>
        <w:t xml:space="preserve">Legend: </w:t>
      </w:r>
      <w:r w:rsidRPr="00457C5B">
        <w:rPr>
          <w:rFonts w:ascii="Calibri" w:eastAsia="Calibri" w:hAnsi="Calibri" w:cs="Times New Roman"/>
          <w:i/>
          <w:sz w:val="20"/>
          <w:szCs w:val="20"/>
          <w:lang w:val="en-GB" w:eastAsia="zh-CN"/>
        </w:rPr>
        <w:t xml:space="preserve">In the figure above the red arrows show the ML/TF flows of information; blue arrows represent the feedback given and received by the FIU; the thickness of the arrows reflects the intensity of the information flows –in terms of </w:t>
      </w:r>
      <w:r w:rsidR="00953CC4" w:rsidRPr="00953CC4">
        <w:rPr>
          <w:rFonts w:ascii="Calibri" w:eastAsia="Calibri" w:hAnsi="Calibri" w:cs="Times New Roman"/>
          <w:i/>
          <w:sz w:val="20"/>
          <w:szCs w:val="20"/>
          <w:lang w:val="en-GB" w:eastAsia="zh-CN"/>
        </w:rPr>
        <w:t xml:space="preserve">both </w:t>
      </w:r>
      <w:r w:rsidRPr="00457C5B">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4E214D" w:rsidRPr="00457C5B">
        <w:rPr>
          <w:rFonts w:ascii="Calibri" w:eastAsia="Calibri" w:hAnsi="Calibri" w:cs="Times New Roman"/>
          <w:i/>
          <w:sz w:val="20"/>
          <w:szCs w:val="20"/>
          <w:lang w:val="en-GB" w:eastAsia="zh-CN"/>
        </w:rPr>
        <w:t>speciali</w:t>
      </w:r>
      <w:r w:rsidR="004E214D">
        <w:rPr>
          <w:rFonts w:ascii="Calibri" w:eastAsia="Calibri" w:hAnsi="Calibri" w:cs="Times New Roman"/>
          <w:sz w:val="20"/>
          <w:szCs w:val="20"/>
          <w:lang w:val="en-GB" w:eastAsia="zh-CN"/>
        </w:rPr>
        <w:t>z</w:t>
      </w:r>
      <w:r w:rsidR="004E214D" w:rsidRPr="003E5910">
        <w:rPr>
          <w:rFonts w:ascii="Calibri" w:eastAsia="Calibri" w:hAnsi="Calibri" w:cs="Times New Roman"/>
          <w:sz w:val="20"/>
          <w:szCs w:val="20"/>
          <w:lang w:val="en-GB" w:eastAsia="zh-CN"/>
        </w:rPr>
        <w:t xml:space="preserve">ation </w:t>
      </w:r>
      <w:r w:rsidRPr="003E5910">
        <w:rPr>
          <w:rFonts w:ascii="Calibri" w:eastAsia="Calibri" w:hAnsi="Calibri" w:cs="Times New Roman"/>
          <w:sz w:val="20"/>
          <w:szCs w:val="20"/>
          <w:lang w:val="en-GB" w:eastAsia="zh-CN"/>
        </w:rPr>
        <w:t>in dealing with ML/TF cases.</w:t>
      </w:r>
    </w:p>
    <w:p w14:paraId="46310B67" w14:textId="77777777" w:rsidR="00E76739" w:rsidRPr="003E5910" w:rsidRDefault="00E76739" w:rsidP="00E76739">
      <w:pPr>
        <w:spacing w:after="0" w:line="240" w:lineRule="auto"/>
        <w:jc w:val="both"/>
        <w:rPr>
          <w:rFonts w:ascii="Calibri" w:eastAsia="Calibri" w:hAnsi="Calibri" w:cs="Times New Roman"/>
          <w:sz w:val="20"/>
          <w:szCs w:val="20"/>
          <w:lang w:val="en-GB" w:eastAsia="zh-CN"/>
        </w:rPr>
      </w:pPr>
    </w:p>
    <w:p w14:paraId="628F5BA9" w14:textId="16DFE0D1"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Austrian law enforcement authorities must ensure that all ML and FT offences are properly investigated</w:t>
      </w:r>
      <w:r w:rsidR="00CD0FC7">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7"/>
      </w:r>
      <w:r w:rsidRPr="00E76739">
        <w:rPr>
          <w:rFonts w:ascii="Calibri" w:eastAsia="Calibri" w:hAnsi="Calibri" w:cs="Times New Roman"/>
          <w:lang w:val="en-GB" w:eastAsia="zh-CN"/>
        </w:rPr>
        <w:t xml:space="preserve"> In Austria prosecutors prosecute </w:t>
      </w:r>
      <w:r w:rsidRPr="00E76739">
        <w:rPr>
          <w:rFonts w:ascii="Calibri" w:eastAsia="Calibri" w:hAnsi="Calibri" w:cs="Times New Roman"/>
          <w:iCs/>
          <w:lang w:val="en-GB" w:eastAsia="zh-CN"/>
        </w:rPr>
        <w:t xml:space="preserve">ex officio </w:t>
      </w:r>
      <w:r w:rsidRPr="00E76739">
        <w:rPr>
          <w:rFonts w:ascii="Calibri" w:eastAsia="Calibri" w:hAnsi="Calibri" w:cs="Times New Roman"/>
          <w:lang w:val="en-GB" w:eastAsia="zh-CN"/>
        </w:rPr>
        <w:t>all criminal acts which come to their knowledge and are not prosecuted only on demand of the victim or other interested parties. ML and FT are therefore prosecuted mandatorily</w:t>
      </w:r>
      <w:r w:rsidR="00CD0FC7">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8"/>
      </w:r>
      <w:r w:rsidRPr="00E76739">
        <w:rPr>
          <w:rFonts w:ascii="Calibri" w:eastAsia="Calibri" w:hAnsi="Calibri" w:cs="Times New Roman"/>
          <w:lang w:val="en-GB" w:eastAsia="zh-CN"/>
        </w:rPr>
        <w:t xml:space="preserve"> </w:t>
      </w:r>
    </w:p>
    <w:p w14:paraId="30BC5C27" w14:textId="24CCF32A"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According to the Austrian representative, there are 17 prosecution offices competent to prosecute ML and TF. Competence is divided geographically and each prosecution authority is competent for a specific region. This is laid down in the Criminal Procedure Code. The PPO has a general responsibility to prosecute all criminal acts, including ML and FT. According to FATF (2009</w:t>
      </w:r>
      <w:r w:rsidR="00CD0FC7">
        <w:rPr>
          <w:rFonts w:ascii="Calibri" w:eastAsia="Calibri" w:hAnsi="Calibri" w:cs="Times New Roman"/>
          <w:lang w:val="en-GB" w:eastAsia="zh-CN"/>
        </w:rPr>
        <w:t>c</w:t>
      </w:r>
      <w:r w:rsidRPr="00E76739">
        <w:rPr>
          <w:rFonts w:ascii="Calibri" w:eastAsia="Calibri" w:hAnsi="Calibri" w:cs="Times New Roman"/>
          <w:lang w:val="en-GB" w:eastAsia="zh-CN"/>
        </w:rPr>
        <w:t>)</w:t>
      </w:r>
      <w:r w:rsidR="00CD0FC7">
        <w:rPr>
          <w:rFonts w:ascii="Calibri" w:eastAsia="Calibri" w:hAnsi="Calibri" w:cs="Times New Roman"/>
          <w:lang w:val="en-GB" w:eastAsia="zh-CN"/>
        </w:rPr>
        <w:t>,</w:t>
      </w:r>
      <w:r w:rsidRPr="00E76739">
        <w:rPr>
          <w:rFonts w:ascii="Calibri" w:eastAsia="Calibri" w:hAnsi="Calibri" w:cs="Times New Roman"/>
          <w:lang w:val="en-GB" w:eastAsia="zh-CN"/>
        </w:rPr>
        <w:t xml:space="preserve"> Austrian law </w:t>
      </w:r>
      <w:r w:rsidR="00CD0FC7">
        <w:rPr>
          <w:rFonts w:ascii="Calibri" w:eastAsia="Calibri" w:hAnsi="Calibri" w:cs="Times New Roman"/>
          <w:lang w:val="en-GB" w:eastAsia="zh-CN"/>
        </w:rPr>
        <w:t>‘</w:t>
      </w:r>
      <w:r w:rsidRPr="00E76739">
        <w:rPr>
          <w:rFonts w:ascii="Calibri" w:eastAsia="Calibri" w:hAnsi="Calibri" w:cs="Times New Roman"/>
          <w:lang w:val="en-GB" w:eastAsia="zh-CN"/>
        </w:rPr>
        <w:t>does not specifically provide for the establishment of special sections in charge of financial crimes and organised crime within the public prosecutor‘s office</w:t>
      </w:r>
      <w:r w:rsidR="00CD0FC7">
        <w:rPr>
          <w:rFonts w:ascii="Calibri" w:eastAsia="Calibri" w:hAnsi="Calibri" w:cs="Times New Roman"/>
          <w:lang w:val="en-GB" w:eastAsia="zh-CN"/>
        </w:rPr>
        <w:t>’</w:t>
      </w:r>
      <w:r w:rsidR="00CD0FC7"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Nevertheless, according to the Austrian representative, there are groups of prosecutors in the larger </w:t>
      </w:r>
      <w:r w:rsidR="00CD0FC7">
        <w:rPr>
          <w:rFonts w:ascii="Calibri" w:eastAsia="Calibri" w:hAnsi="Calibri" w:cs="Times New Roman"/>
          <w:lang w:val="en-GB" w:eastAsia="zh-CN"/>
        </w:rPr>
        <w:t>p</w:t>
      </w:r>
      <w:r w:rsidR="00CD0FC7" w:rsidRPr="00E76739">
        <w:rPr>
          <w:rFonts w:ascii="Calibri" w:eastAsia="Calibri" w:hAnsi="Calibri" w:cs="Times New Roman"/>
          <w:lang w:val="en-GB" w:eastAsia="zh-CN"/>
        </w:rPr>
        <w:t xml:space="preserve">rosecution </w:t>
      </w:r>
      <w:r w:rsidRPr="00E76739">
        <w:rPr>
          <w:rFonts w:ascii="Calibri" w:eastAsia="Calibri" w:hAnsi="Calibri" w:cs="Times New Roman"/>
          <w:lang w:val="en-GB" w:eastAsia="zh-CN"/>
        </w:rPr>
        <w:t xml:space="preserve">offices in Austria which only deal with economic and </w:t>
      </w:r>
      <w:r w:rsidR="00CD0FC7" w:rsidRPr="00E76739">
        <w:rPr>
          <w:rFonts w:ascii="Calibri" w:eastAsia="Calibri" w:hAnsi="Calibri" w:cs="Times New Roman"/>
          <w:lang w:val="en-GB" w:eastAsia="zh-CN"/>
        </w:rPr>
        <w:t>organi</w:t>
      </w:r>
      <w:r w:rsidR="00CD0FC7">
        <w:rPr>
          <w:rFonts w:ascii="Calibri" w:eastAsia="Calibri" w:hAnsi="Calibri" w:cs="Times New Roman"/>
          <w:lang w:val="en-GB" w:eastAsia="zh-CN"/>
        </w:rPr>
        <w:t>z</w:t>
      </w:r>
      <w:r w:rsidR="00CD0FC7"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crime, and Vienna has such a group of 10 </w:t>
      </w:r>
      <w:r w:rsidR="00CD0FC7" w:rsidRPr="00E76739">
        <w:rPr>
          <w:rFonts w:ascii="Calibri" w:eastAsia="Calibri" w:hAnsi="Calibri" w:cs="Times New Roman"/>
          <w:lang w:val="en-GB" w:eastAsia="zh-CN"/>
        </w:rPr>
        <w:t>speciali</w:t>
      </w:r>
      <w:r w:rsidR="00CD0FC7">
        <w:rPr>
          <w:rFonts w:ascii="Calibri" w:eastAsia="Calibri" w:hAnsi="Calibri" w:cs="Times New Roman"/>
          <w:lang w:val="en-GB" w:eastAsia="zh-CN"/>
        </w:rPr>
        <w:t>z</w:t>
      </w:r>
      <w:r w:rsidR="00CD0FC7"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prosecutors. Furthermore, FATF (2009</w:t>
      </w:r>
      <w:r w:rsidR="00CD0FC7">
        <w:rPr>
          <w:rFonts w:ascii="Calibri" w:eastAsia="Calibri" w:hAnsi="Calibri" w:cs="Times New Roman"/>
          <w:lang w:val="en-GB" w:eastAsia="zh-CN"/>
        </w:rPr>
        <w:t>c</w:t>
      </w:r>
      <w:r w:rsidRPr="00E76739">
        <w:rPr>
          <w:rFonts w:ascii="Calibri" w:eastAsia="Calibri" w:hAnsi="Calibri" w:cs="Times New Roman"/>
          <w:lang w:val="en-GB" w:eastAsia="zh-CN"/>
        </w:rPr>
        <w:t xml:space="preserve">) reports that out of 300 prosecutors operating in Austria, approximately 10% were </w:t>
      </w:r>
      <w:r w:rsidR="00CD0FC7" w:rsidRPr="00E76739">
        <w:rPr>
          <w:rFonts w:ascii="Calibri" w:eastAsia="Calibri" w:hAnsi="Calibri" w:cs="Times New Roman"/>
          <w:lang w:val="en-GB" w:eastAsia="zh-CN"/>
        </w:rPr>
        <w:t>speciali</w:t>
      </w:r>
      <w:r w:rsidR="00CD0FC7">
        <w:rPr>
          <w:rFonts w:ascii="Calibri" w:eastAsia="Calibri" w:hAnsi="Calibri" w:cs="Times New Roman"/>
          <w:lang w:val="en-GB" w:eastAsia="zh-CN"/>
        </w:rPr>
        <w:t>z</w:t>
      </w:r>
      <w:r w:rsidR="00CD0FC7"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in ML and in investigating financial crimes.</w:t>
      </w:r>
    </w:p>
    <w:p w14:paraId="45282460" w14:textId="144DDC4B" w:rsidR="00E76739" w:rsidRPr="00E76739" w:rsidRDefault="00E76739" w:rsidP="00E76739">
      <w:pPr>
        <w:spacing w:after="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According to the Austrian representative, during the investigation, the PPO and the FIU are in close contact and</w:t>
      </w:r>
      <w:r w:rsidR="00CD0FC7">
        <w:rPr>
          <w:rFonts w:ascii="Calibri" w:eastAsia="Calibri" w:hAnsi="Calibri" w:cs="Times New Roman"/>
          <w:lang w:val="en-GB" w:eastAsia="zh-CN"/>
        </w:rPr>
        <w:t>,</w:t>
      </w:r>
      <w:r w:rsidRPr="00E76739">
        <w:rPr>
          <w:rFonts w:ascii="Calibri" w:eastAsia="Calibri" w:hAnsi="Calibri" w:cs="Times New Roman"/>
          <w:lang w:val="en-GB" w:eastAsia="zh-CN"/>
        </w:rPr>
        <w:t xml:space="preserve"> once the prosecutor takes the case to court, the FIU receives feedback from the court when the case is dropped (when there is no conviction). The FIU does not receive feedback when the accused is sentenced unless they formally request this information. On the issue of ML, the Austrian representative argued that approximately 60% of indictments originate from the FIU reports and 40% from other police sources. Similarly, approximately 85% of convictions on ML can be traced back to FIU reports.</w:t>
      </w:r>
    </w:p>
    <w:p w14:paraId="30085968" w14:textId="77777777" w:rsidR="00E76739" w:rsidRPr="00E76739" w:rsidRDefault="00E76739" w:rsidP="00E76739">
      <w:pPr>
        <w:spacing w:after="0" w:line="240" w:lineRule="auto"/>
        <w:jc w:val="both"/>
        <w:rPr>
          <w:rFonts w:ascii="Calibri" w:eastAsia="Calibri" w:hAnsi="Calibri" w:cs="Times New Roman"/>
          <w:u w:val="single"/>
          <w:lang w:val="en-GB" w:eastAsia="zh-CN"/>
        </w:rPr>
      </w:pPr>
    </w:p>
    <w:p w14:paraId="4B5ABF26" w14:textId="77777777" w:rsidR="00E76739" w:rsidRPr="00E76739" w:rsidRDefault="00E76739" w:rsidP="00E76739">
      <w:pPr>
        <w:spacing w:after="0" w:line="240" w:lineRule="auto"/>
        <w:jc w:val="both"/>
        <w:rPr>
          <w:rFonts w:ascii="Calibri" w:eastAsia="Calibri" w:hAnsi="Calibri" w:cs="Times New Roman"/>
          <w:u w:val="single"/>
          <w:lang w:val="en-GB" w:eastAsia="zh-CN"/>
        </w:rPr>
      </w:pPr>
    </w:p>
    <w:p w14:paraId="736402DF" w14:textId="77777777" w:rsidR="00E76739" w:rsidRPr="00E76739" w:rsidRDefault="00BA07A1" w:rsidP="00E76739">
      <w:pPr>
        <w:spacing w:after="0" w:line="240" w:lineRule="auto"/>
        <w:jc w:val="both"/>
        <w:rPr>
          <w:rFonts w:ascii="Calibri" w:eastAsia="SimSun" w:hAnsi="Calibri" w:cs="Times New Roman"/>
          <w:b/>
          <w:bCs/>
          <w:lang w:val="en-GB" w:eastAsia="zh-CN"/>
        </w:rPr>
      </w:pPr>
      <w:bookmarkStart w:id="2" w:name="_Toc341109078"/>
      <w:bookmarkStart w:id="3" w:name="_Toc341266518"/>
      <w:bookmarkStart w:id="4" w:name="_Toc341269273"/>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.5.2 </w:t>
      </w:r>
      <w:r w:rsidR="00E76739" w:rsidRPr="00E76739">
        <w:rPr>
          <w:rFonts w:ascii="Calibri" w:eastAsia="SimSun" w:hAnsi="Calibri" w:cs="Times New Roman"/>
          <w:b/>
          <w:bCs/>
          <w:lang w:val="en-GB" w:eastAsia="zh-CN"/>
        </w:rPr>
        <w:tab/>
        <w:t>Belgium</w:t>
      </w:r>
      <w:bookmarkEnd w:id="2"/>
      <w:bookmarkEnd w:id="3"/>
      <w:bookmarkEnd w:id="4"/>
    </w:p>
    <w:p w14:paraId="5ECF1EB2"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4AD96BE7" w14:textId="61E97079" w:rsidR="00E76739" w:rsidRPr="00E76739" w:rsidRDefault="00E76739" w:rsidP="00E76739">
      <w:pPr>
        <w:spacing w:after="240" w:line="240" w:lineRule="auto"/>
        <w:jc w:val="both"/>
        <w:rPr>
          <w:rFonts w:ascii="Calibri" w:eastAsia="Calibri" w:hAnsi="Calibri" w:cs="Times New Roman"/>
          <w:bCs/>
          <w:lang w:val="en-GB" w:eastAsia="zh-CN"/>
        </w:rPr>
      </w:pPr>
      <w:r w:rsidRPr="00E76739">
        <w:rPr>
          <w:rFonts w:ascii="Calibri" w:eastAsia="Calibri" w:hAnsi="Calibri" w:cs="Times New Roman"/>
          <w:bCs/>
          <w:lang w:val="en-GB" w:eastAsia="zh-CN"/>
        </w:rPr>
        <w:t xml:space="preserve">When the Belgian FIU has declared that a specific STR or a ‘dossier’ is suspicious, the case </w:t>
      </w:r>
      <w:r w:rsidR="004A0138">
        <w:rPr>
          <w:rFonts w:ascii="Calibri" w:eastAsia="Calibri" w:hAnsi="Calibri" w:cs="Times New Roman"/>
          <w:bCs/>
          <w:lang w:val="en-GB" w:eastAsia="zh-CN"/>
        </w:rPr>
        <w:t>is</w:t>
      </w:r>
      <w:r w:rsidRPr="00E76739">
        <w:rPr>
          <w:rFonts w:ascii="Calibri" w:eastAsia="Calibri" w:hAnsi="Calibri" w:cs="Times New Roman"/>
          <w:bCs/>
          <w:lang w:val="en-GB" w:eastAsia="zh-CN"/>
        </w:rPr>
        <w:t xml:space="preserve"> forwarded to the competent public prosecutor. Usually, this means the PPO where the transaction took place (geographical location). It is possible </w:t>
      </w:r>
      <w:r w:rsidR="004A0138">
        <w:rPr>
          <w:rFonts w:ascii="Calibri" w:eastAsia="Calibri" w:hAnsi="Calibri" w:cs="Times New Roman"/>
          <w:bCs/>
          <w:lang w:val="en-GB" w:eastAsia="zh-CN"/>
        </w:rPr>
        <w:t>for</w:t>
      </w:r>
      <w:r w:rsidR="004A0138"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 xml:space="preserve">the FIU intentionally </w:t>
      </w:r>
      <w:r w:rsidR="004A0138">
        <w:rPr>
          <w:rFonts w:ascii="Calibri" w:eastAsia="Calibri" w:hAnsi="Calibri" w:cs="Times New Roman"/>
          <w:bCs/>
          <w:lang w:val="en-GB" w:eastAsia="zh-CN"/>
        </w:rPr>
        <w:t xml:space="preserve">to </w:t>
      </w:r>
      <w:r w:rsidRPr="00E76739">
        <w:rPr>
          <w:rFonts w:ascii="Calibri" w:eastAsia="Calibri" w:hAnsi="Calibri" w:cs="Times New Roman"/>
          <w:bCs/>
          <w:lang w:val="en-GB" w:eastAsia="zh-CN"/>
        </w:rPr>
        <w:t xml:space="preserve">forward it to another district PPO </w:t>
      </w:r>
      <w:r w:rsidR="004A0138">
        <w:rPr>
          <w:rFonts w:ascii="Calibri" w:eastAsia="Calibri" w:hAnsi="Calibri" w:cs="Times New Roman"/>
          <w:bCs/>
          <w:lang w:val="en-GB" w:eastAsia="zh-CN"/>
        </w:rPr>
        <w:t>if</w:t>
      </w:r>
      <w:r w:rsidR="004A0138"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it has reason to believe that this will be more con</w:t>
      </w:r>
      <w:r w:rsidR="004A0138">
        <w:rPr>
          <w:rFonts w:ascii="Calibri" w:eastAsia="Calibri" w:hAnsi="Calibri" w:cs="Times New Roman"/>
          <w:bCs/>
          <w:lang w:val="en-GB" w:eastAsia="zh-CN"/>
        </w:rPr>
        <w:t>ducive</w:t>
      </w:r>
      <w:r w:rsidRPr="00E76739">
        <w:rPr>
          <w:rFonts w:ascii="Calibri" w:eastAsia="Calibri" w:hAnsi="Calibri" w:cs="Times New Roman"/>
          <w:bCs/>
          <w:lang w:val="en-GB" w:eastAsia="zh-CN"/>
        </w:rPr>
        <w:t xml:space="preserve"> </w:t>
      </w:r>
      <w:r w:rsidR="004A0138">
        <w:rPr>
          <w:rFonts w:ascii="Calibri" w:eastAsia="Calibri" w:hAnsi="Calibri" w:cs="Times New Roman"/>
          <w:bCs/>
          <w:lang w:val="en-GB" w:eastAsia="zh-CN"/>
        </w:rPr>
        <w:t xml:space="preserve">to </w:t>
      </w:r>
      <w:r w:rsidRPr="00E76739">
        <w:rPr>
          <w:rFonts w:ascii="Calibri" w:eastAsia="Calibri" w:hAnsi="Calibri" w:cs="Times New Roman"/>
          <w:bCs/>
          <w:lang w:val="en-GB" w:eastAsia="zh-CN"/>
        </w:rPr>
        <w:t xml:space="preserve">the success of the prosecution. However, in the latter case the FIU does not inform the prosecutor where the predicate offence and the laundering took place. </w:t>
      </w:r>
    </w:p>
    <w:p w14:paraId="120D6393" w14:textId="597BE231" w:rsidR="00E76739" w:rsidRPr="00E76739" w:rsidRDefault="00E76739" w:rsidP="00E76739">
      <w:pPr>
        <w:spacing w:after="240" w:line="240" w:lineRule="auto"/>
        <w:jc w:val="both"/>
        <w:rPr>
          <w:rFonts w:ascii="Calibri" w:eastAsia="Calibri" w:hAnsi="Calibri" w:cs="Times New Roman"/>
          <w:bCs/>
          <w:lang w:val="en-GB" w:eastAsia="zh-CN"/>
        </w:rPr>
      </w:pPr>
      <w:r w:rsidRPr="00E76739">
        <w:rPr>
          <w:rFonts w:ascii="Calibri" w:eastAsia="Calibri" w:hAnsi="Calibri" w:cs="Times New Roman"/>
          <w:bCs/>
          <w:lang w:val="en-GB" w:eastAsia="zh-CN"/>
        </w:rPr>
        <w:t xml:space="preserve">In Belgium, there exists no </w:t>
      </w:r>
      <w:r w:rsidR="004A0138" w:rsidRPr="00E76739">
        <w:rPr>
          <w:rFonts w:ascii="Calibri" w:eastAsia="Calibri" w:hAnsi="Calibri" w:cs="Times New Roman"/>
          <w:bCs/>
          <w:lang w:val="en-GB" w:eastAsia="zh-CN"/>
        </w:rPr>
        <w:t>centrali</w:t>
      </w:r>
      <w:r w:rsidR="004A0138">
        <w:rPr>
          <w:rFonts w:ascii="Calibri" w:eastAsia="Calibri" w:hAnsi="Calibri" w:cs="Times New Roman"/>
          <w:bCs/>
          <w:lang w:val="en-GB" w:eastAsia="zh-CN"/>
        </w:rPr>
        <w:t>z</w:t>
      </w:r>
      <w:r w:rsidR="004A0138" w:rsidRPr="00E76739">
        <w:rPr>
          <w:rFonts w:ascii="Calibri" w:eastAsia="Calibri" w:hAnsi="Calibri" w:cs="Times New Roman"/>
          <w:bCs/>
          <w:lang w:val="en-GB" w:eastAsia="zh-CN"/>
        </w:rPr>
        <w:t xml:space="preserve">ed </w:t>
      </w:r>
      <w:r w:rsidRPr="00E76739">
        <w:rPr>
          <w:rFonts w:ascii="Calibri" w:eastAsia="Calibri" w:hAnsi="Calibri" w:cs="Times New Roman"/>
          <w:bCs/>
          <w:lang w:val="en-GB" w:eastAsia="zh-CN"/>
        </w:rPr>
        <w:t xml:space="preserve">database with all </w:t>
      </w:r>
      <w:r w:rsidR="004A0138">
        <w:rPr>
          <w:rFonts w:ascii="Calibri" w:eastAsia="Calibri" w:hAnsi="Calibri" w:cs="Times New Roman"/>
          <w:bCs/>
          <w:lang w:val="en-GB" w:eastAsia="zh-CN"/>
        </w:rPr>
        <w:t xml:space="preserve">the </w:t>
      </w:r>
      <w:r w:rsidRPr="00E76739">
        <w:rPr>
          <w:rFonts w:ascii="Calibri" w:eastAsia="Calibri" w:hAnsi="Calibri" w:cs="Times New Roman"/>
          <w:bCs/>
          <w:lang w:val="en-GB" w:eastAsia="zh-CN"/>
        </w:rPr>
        <w:t xml:space="preserve">information that the FIU </w:t>
      </w:r>
      <w:r w:rsidR="004A0138">
        <w:rPr>
          <w:rFonts w:ascii="Calibri" w:eastAsia="Calibri" w:hAnsi="Calibri" w:cs="Times New Roman"/>
          <w:bCs/>
          <w:lang w:val="en-GB" w:eastAsia="zh-CN"/>
        </w:rPr>
        <w:t xml:space="preserve">has </w:t>
      </w:r>
      <w:r w:rsidRPr="00E76739">
        <w:rPr>
          <w:rFonts w:ascii="Calibri" w:eastAsia="Calibri" w:hAnsi="Calibri" w:cs="Times New Roman"/>
          <w:bCs/>
          <w:lang w:val="en-GB" w:eastAsia="zh-CN"/>
        </w:rPr>
        <w:t>forwarded to the prosecuting authorities. This means that a prosecutor does not know whether other possibly relevant STRs have already been forwarded by the FIU to another PPO. Currently the issue is being addressed and the project ‘Gegevensdatabase’</w:t>
      </w:r>
      <w:r w:rsidR="004A0138">
        <w:rPr>
          <w:rFonts w:ascii="Calibri" w:eastAsia="Calibri" w:hAnsi="Calibri" w:cs="Times New Roman"/>
          <w:bCs/>
          <w:lang w:val="en-GB" w:eastAsia="zh-CN"/>
        </w:rPr>
        <w:t>,</w:t>
      </w:r>
      <w:r w:rsidRPr="00E76739">
        <w:rPr>
          <w:rFonts w:ascii="Calibri" w:eastAsia="Calibri" w:hAnsi="Calibri" w:cs="Times New Roman"/>
          <w:bCs/>
          <w:lang w:val="en-GB" w:eastAsia="zh-CN"/>
        </w:rPr>
        <w:t xml:space="preserve"> whereby such a database will be constructed</w:t>
      </w:r>
      <w:r w:rsidR="004A0138">
        <w:rPr>
          <w:rFonts w:ascii="Calibri" w:eastAsia="Calibri" w:hAnsi="Calibri" w:cs="Times New Roman"/>
          <w:bCs/>
          <w:lang w:val="en-GB" w:eastAsia="zh-CN"/>
        </w:rPr>
        <w:t>,</w:t>
      </w:r>
      <w:r w:rsidRPr="00E76739">
        <w:rPr>
          <w:rFonts w:ascii="Calibri" w:eastAsia="Calibri" w:hAnsi="Calibri" w:cs="Times New Roman"/>
          <w:bCs/>
          <w:lang w:val="en-GB" w:eastAsia="zh-CN"/>
        </w:rPr>
        <w:t xml:space="preserve"> is in progress</w:t>
      </w:r>
      <w:r w:rsidR="004A0138">
        <w:rPr>
          <w:rFonts w:ascii="Calibri" w:eastAsia="Calibri" w:hAnsi="Calibri" w:cs="Times New Roman"/>
          <w:bCs/>
          <w:lang w:val="en-GB" w:eastAsia="zh-CN"/>
        </w:rPr>
        <w:t>.</w:t>
      </w:r>
      <w:r w:rsidRPr="00E76739">
        <w:rPr>
          <w:rFonts w:ascii="Calibri" w:eastAsia="Calibri" w:hAnsi="Calibri" w:cs="Times New Roman"/>
          <w:bCs/>
          <w:vertAlign w:val="superscript"/>
          <w:lang w:val="en-GB" w:eastAsia="zh-CN"/>
        </w:rPr>
        <w:footnoteReference w:id="9"/>
      </w:r>
      <w:r w:rsidRPr="00E76739">
        <w:rPr>
          <w:rFonts w:ascii="Calibri" w:eastAsia="Calibri" w:hAnsi="Calibri" w:cs="Times New Roman"/>
          <w:bCs/>
          <w:lang w:val="en-GB" w:eastAsia="zh-CN"/>
        </w:rPr>
        <w:t xml:space="preserve"> </w:t>
      </w:r>
    </w:p>
    <w:p w14:paraId="26B1AC09" w14:textId="7B049AE7" w:rsidR="00E76739" w:rsidRPr="00E76739" w:rsidRDefault="00E76739" w:rsidP="00E76739">
      <w:pPr>
        <w:spacing w:after="240" w:line="240" w:lineRule="auto"/>
        <w:jc w:val="both"/>
        <w:rPr>
          <w:rFonts w:ascii="Calibri" w:eastAsia="Calibri" w:hAnsi="Calibri" w:cs="Times New Roman"/>
          <w:bCs/>
          <w:lang w:val="en-GB" w:eastAsia="zh-CN"/>
        </w:rPr>
      </w:pPr>
      <w:r w:rsidRPr="00E76739">
        <w:rPr>
          <w:rFonts w:ascii="Calibri" w:eastAsia="Calibri" w:hAnsi="Calibri" w:cs="Times New Roman"/>
          <w:bCs/>
          <w:lang w:val="en-GB" w:eastAsia="zh-CN"/>
        </w:rPr>
        <w:lastRenderedPageBreak/>
        <w:t xml:space="preserve">The FIU is well connected to the police and to the public prosecution’s offices. The FIU’s liaison officers provide access to police databases, but also take care of contacts between </w:t>
      </w:r>
      <w:r w:rsidR="004166CA">
        <w:rPr>
          <w:rFonts w:ascii="Calibri" w:eastAsia="Calibri" w:hAnsi="Calibri" w:cs="Times New Roman"/>
          <w:bCs/>
          <w:lang w:val="en-GB" w:eastAsia="zh-CN"/>
        </w:rPr>
        <w:t xml:space="preserve">the </w:t>
      </w:r>
      <w:r w:rsidRPr="00E76739">
        <w:rPr>
          <w:rFonts w:ascii="Calibri" w:eastAsia="Calibri" w:hAnsi="Calibri" w:cs="Times New Roman"/>
          <w:bCs/>
          <w:lang w:val="en-GB" w:eastAsia="zh-CN"/>
        </w:rPr>
        <w:t xml:space="preserve">FIU and the police. Also, the head of the FIU is a prosecutor detached to the FIU to ensure efficient flows of information to the prosecutors. Furthermore, since 2011 the FIU has </w:t>
      </w:r>
      <w:r w:rsidR="004166CA">
        <w:rPr>
          <w:rFonts w:ascii="Calibri" w:eastAsia="Calibri" w:hAnsi="Calibri" w:cs="Times New Roman"/>
          <w:bCs/>
          <w:lang w:val="en-GB" w:eastAsia="zh-CN"/>
        </w:rPr>
        <w:t xml:space="preserve">had </w:t>
      </w:r>
      <w:r w:rsidRPr="00E76739">
        <w:rPr>
          <w:rFonts w:ascii="Calibri" w:eastAsia="Calibri" w:hAnsi="Calibri" w:cs="Times New Roman"/>
          <w:bCs/>
          <w:lang w:val="en-GB" w:eastAsia="zh-CN"/>
        </w:rPr>
        <w:t>‘contact magistrates’ for each district prosecution office</w:t>
      </w:r>
      <w:r w:rsidR="004166CA">
        <w:rPr>
          <w:rFonts w:ascii="Calibri" w:eastAsia="Calibri" w:hAnsi="Calibri" w:cs="Times New Roman"/>
          <w:bCs/>
          <w:lang w:val="en-GB" w:eastAsia="zh-CN"/>
        </w:rPr>
        <w:t>.</w:t>
      </w:r>
      <w:r w:rsidRPr="00E76739">
        <w:rPr>
          <w:rFonts w:ascii="Calibri" w:eastAsia="Calibri" w:hAnsi="Calibri" w:cs="Times New Roman"/>
          <w:bCs/>
          <w:vertAlign w:val="superscript"/>
          <w:lang w:val="en-GB" w:eastAsia="zh-CN"/>
        </w:rPr>
        <w:footnoteReference w:id="10"/>
      </w:r>
      <w:r w:rsidRPr="00E76739">
        <w:rPr>
          <w:rFonts w:ascii="Calibri" w:eastAsia="Calibri" w:hAnsi="Calibri" w:cs="Times New Roman"/>
          <w:bCs/>
          <w:lang w:val="en-GB" w:eastAsia="zh-CN"/>
        </w:rPr>
        <w:t xml:space="preserve"> These contacts are the entry points </w:t>
      </w:r>
      <w:r w:rsidR="004166CA">
        <w:rPr>
          <w:rFonts w:ascii="Calibri" w:eastAsia="Calibri" w:hAnsi="Calibri" w:cs="Times New Roman"/>
          <w:bCs/>
          <w:lang w:val="en-GB" w:eastAsia="zh-CN"/>
        </w:rPr>
        <w:t>for</w:t>
      </w:r>
      <w:r w:rsidR="004166CA"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information in the respective PPO. The contact magistrates have experience with financial crime but do not have to prosecute all the cases received from the FIU themselves. According to a Belgian representative</w:t>
      </w:r>
      <w:r w:rsidR="004166CA">
        <w:rPr>
          <w:rFonts w:ascii="Calibri" w:eastAsia="Calibri" w:hAnsi="Calibri" w:cs="Times New Roman"/>
          <w:bCs/>
          <w:lang w:val="en-GB" w:eastAsia="zh-CN"/>
        </w:rPr>
        <w:t>,</w:t>
      </w:r>
      <w:r w:rsidRPr="00E76739">
        <w:rPr>
          <w:rFonts w:ascii="Calibri" w:eastAsia="Calibri" w:hAnsi="Calibri" w:cs="Times New Roman"/>
          <w:bCs/>
          <w:lang w:val="en-GB" w:eastAsia="zh-CN"/>
        </w:rPr>
        <w:t xml:space="preserve"> </w:t>
      </w:r>
      <w:r w:rsidR="004166CA">
        <w:rPr>
          <w:rFonts w:ascii="Calibri" w:eastAsia="Calibri" w:hAnsi="Calibri" w:cs="Times New Roman"/>
          <w:bCs/>
          <w:lang w:val="en-GB" w:eastAsia="zh-CN"/>
        </w:rPr>
        <w:t xml:space="preserve">an </w:t>
      </w:r>
      <w:r w:rsidR="004166CA" w:rsidRPr="00E76739">
        <w:rPr>
          <w:rFonts w:ascii="Calibri" w:eastAsia="Calibri" w:hAnsi="Calibri" w:cs="Times New Roman"/>
          <w:bCs/>
          <w:lang w:val="en-GB" w:eastAsia="zh-CN"/>
        </w:rPr>
        <w:t>increas</w:t>
      </w:r>
      <w:r w:rsidR="004166CA">
        <w:rPr>
          <w:rFonts w:ascii="Calibri" w:eastAsia="Calibri" w:hAnsi="Calibri" w:cs="Times New Roman"/>
          <w:bCs/>
          <w:lang w:val="en-GB" w:eastAsia="zh-CN"/>
        </w:rPr>
        <w:t>e</w:t>
      </w:r>
      <w:r w:rsidR="004166CA" w:rsidRPr="00E76739">
        <w:rPr>
          <w:rFonts w:ascii="Calibri" w:eastAsia="Calibri" w:hAnsi="Calibri" w:cs="Times New Roman"/>
          <w:bCs/>
          <w:lang w:val="en-GB" w:eastAsia="zh-CN"/>
        </w:rPr>
        <w:t xml:space="preserve"> </w:t>
      </w:r>
      <w:r w:rsidR="004166CA">
        <w:rPr>
          <w:rFonts w:ascii="Calibri" w:eastAsia="Calibri" w:hAnsi="Calibri" w:cs="Times New Roman"/>
          <w:bCs/>
          <w:lang w:val="en-GB" w:eastAsia="zh-CN"/>
        </w:rPr>
        <w:t xml:space="preserve">in </w:t>
      </w:r>
      <w:r w:rsidRPr="00E76739">
        <w:rPr>
          <w:rFonts w:ascii="Calibri" w:eastAsia="Calibri" w:hAnsi="Calibri" w:cs="Times New Roman"/>
          <w:bCs/>
          <w:lang w:val="en-GB" w:eastAsia="zh-CN"/>
        </w:rPr>
        <w:t xml:space="preserve">the financial and human resources allocated to the prosecuting authorities </w:t>
      </w:r>
      <w:r w:rsidR="004166CA">
        <w:rPr>
          <w:rFonts w:ascii="Calibri" w:eastAsia="Calibri" w:hAnsi="Calibri" w:cs="Times New Roman"/>
          <w:bCs/>
          <w:lang w:val="en-GB" w:eastAsia="zh-CN"/>
        </w:rPr>
        <w:t>needs to be considered</w:t>
      </w:r>
      <w:r w:rsidR="004166CA"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such that these can effectively process all the information delivered to them by the FIU.</w:t>
      </w:r>
      <w:r w:rsidR="00DA07F4">
        <w:rPr>
          <w:rFonts w:ascii="Calibri" w:eastAsia="Calibri" w:hAnsi="Calibri" w:cs="Times New Roman"/>
          <w:bCs/>
          <w:lang w:val="en-GB" w:eastAsia="zh-CN"/>
        </w:rPr>
        <w:t xml:space="preserve"> </w:t>
      </w:r>
    </w:p>
    <w:p w14:paraId="0921A080" w14:textId="77777777" w:rsidR="00E76739" w:rsidRPr="00E76739" w:rsidRDefault="00E76739" w:rsidP="00E76739">
      <w:pPr>
        <w:spacing w:after="0" w:line="240" w:lineRule="auto"/>
        <w:jc w:val="both"/>
        <w:rPr>
          <w:rFonts w:ascii="Calibri" w:eastAsia="Calibri" w:hAnsi="Calibri" w:cs="Times New Roman"/>
          <w:b/>
          <w:bCs/>
          <w:lang w:val="en-GB" w:eastAsia="zh-CN"/>
        </w:rPr>
      </w:pPr>
    </w:p>
    <w:p w14:paraId="6A17100F" w14:textId="7AB77DAF" w:rsidR="00E76739" w:rsidRPr="00E76739" w:rsidRDefault="00E76739" w:rsidP="00E76739">
      <w:pPr>
        <w:spacing w:after="0" w:line="240" w:lineRule="auto"/>
        <w:jc w:val="center"/>
        <w:rPr>
          <w:rFonts w:ascii="Calibri" w:eastAsia="SimSun" w:hAnsi="Calibri" w:cs="Times New Roman"/>
          <w:b/>
          <w:lang w:val="en-GB" w:eastAsia="zh-CN"/>
        </w:rPr>
      </w:pPr>
      <w:bookmarkStart w:id="5" w:name="_Toc350517093"/>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0A5122">
        <w:rPr>
          <w:rFonts w:ascii="Calibri" w:eastAsia="SimSun" w:hAnsi="Calibri" w:cs="Times New Roman"/>
          <w:b/>
          <w:lang w:val="en-GB" w:eastAsia="zh-CN"/>
        </w:rPr>
        <w:t>6</w:t>
      </w:r>
      <w:r w:rsidRPr="00E76739">
        <w:rPr>
          <w:rFonts w:ascii="Calibri" w:eastAsia="SimSun" w:hAnsi="Calibri" w:cs="Times New Roman"/>
          <w:b/>
          <w:lang w:val="en-GB" w:eastAsia="zh-CN"/>
        </w:rPr>
        <w:t xml:space="preserve">: AML/CTF Information flows in </w:t>
      </w:r>
      <w:commentRangeStart w:id="6"/>
      <w:r w:rsidRPr="00E76739">
        <w:rPr>
          <w:rFonts w:ascii="Calibri" w:eastAsia="SimSun" w:hAnsi="Calibri" w:cs="Times New Roman"/>
          <w:b/>
          <w:lang w:val="en-GB" w:eastAsia="zh-CN"/>
        </w:rPr>
        <w:t>Belgium</w:t>
      </w:r>
      <w:bookmarkEnd w:id="5"/>
      <w:commentRangeEnd w:id="6"/>
      <w:r w:rsidR="004166CA">
        <w:rPr>
          <w:rStyle w:val="CommentReference"/>
        </w:rPr>
        <w:commentReference w:id="6"/>
      </w:r>
    </w:p>
    <w:p w14:paraId="11D00D2F"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75966F9B" w14:textId="77777777" w:rsidR="00E76739" w:rsidRPr="00E76739" w:rsidRDefault="00E76739" w:rsidP="00E76739">
      <w:pPr>
        <w:spacing w:after="0" w:line="240" w:lineRule="auto"/>
        <w:jc w:val="both"/>
        <w:rPr>
          <w:rFonts w:ascii="Calibri" w:eastAsia="Calibri" w:hAnsi="Calibri" w:cs="Times New Roman"/>
          <w:b/>
          <w:u w:val="single"/>
          <w:lang w:val="en-GB" w:eastAsia="zh-CN"/>
        </w:rPr>
      </w:pPr>
      <w:r w:rsidRPr="00E76739">
        <w:rPr>
          <w:rFonts w:ascii="Calibri" w:eastAsia="Calibri" w:hAnsi="Calibri" w:cs="Times New Roman"/>
          <w:b/>
          <w:noProof/>
          <w:lang w:val="en-US" w:eastAsia="en-US"/>
        </w:rPr>
        <w:drawing>
          <wp:inline distT="0" distB="0" distL="0" distR="0" wp14:anchorId="2C436E2F" wp14:editId="31E6CA6E">
            <wp:extent cx="5343525" cy="2933700"/>
            <wp:effectExtent l="0" t="0" r="9525" b="0"/>
            <wp:docPr id="24" name="Afbeelding 22" descr="BelgiumFlow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lgiumFlows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3525" cy="2933700"/>
                    </a:xfrm>
                    <a:prstGeom prst="rect">
                      <a:avLst/>
                    </a:prstGeom>
                    <a:noFill/>
                    <a:ln>
                      <a:noFill/>
                    </a:ln>
                  </pic:spPr>
                </pic:pic>
              </a:graphicData>
            </a:graphic>
          </wp:inline>
        </w:drawing>
      </w:r>
    </w:p>
    <w:p w14:paraId="27447B9B" w14:textId="24DC7C2A" w:rsidR="00E76739" w:rsidRPr="00E76739" w:rsidRDefault="00E76739" w:rsidP="00E76739">
      <w:pPr>
        <w:spacing w:after="240" w:line="240" w:lineRule="auto"/>
        <w:jc w:val="both"/>
        <w:rPr>
          <w:rFonts w:ascii="Calibri" w:eastAsia="Calibri" w:hAnsi="Calibri" w:cs="Times New Roman"/>
          <w:i/>
          <w:sz w:val="20"/>
          <w:szCs w:val="20"/>
          <w:lang w:val="en-GB" w:eastAsia="zh-CN"/>
        </w:rPr>
      </w:pPr>
      <w:r w:rsidRPr="00E76739">
        <w:rPr>
          <w:rFonts w:ascii="Calibri" w:eastAsia="Calibri" w:hAnsi="Calibri" w:cs="Times New Roman"/>
          <w:i/>
          <w:sz w:val="20"/>
          <w:szCs w:val="20"/>
          <w:lang w:val="en-GB" w:eastAsia="zh-CN"/>
        </w:rPr>
        <w:t xml:space="preserve">Legend: </w:t>
      </w:r>
      <w:r w:rsidRPr="00457C5B">
        <w:rPr>
          <w:rFonts w:ascii="Calibri" w:eastAsia="Calibri" w:hAnsi="Calibri" w:cs="Times New Roman"/>
          <w:i/>
          <w:sz w:val="20"/>
          <w:szCs w:val="20"/>
          <w:lang w:val="en-GB" w:eastAsia="zh-CN"/>
        </w:rPr>
        <w:t xml:space="preserve">In the figure above the red arrows show the ML/TF flows of information; blue arrows represent the feedback given and received by the FIU; the thickness of the arrows reflects the intensity of the information flows –in terms of </w:t>
      </w:r>
      <w:r w:rsidR="008D6F69" w:rsidRPr="003E5910">
        <w:rPr>
          <w:rFonts w:ascii="Calibri" w:eastAsia="Calibri" w:hAnsi="Calibri" w:cs="Times New Roman"/>
          <w:i/>
          <w:sz w:val="20"/>
          <w:szCs w:val="20"/>
          <w:lang w:val="en-GB" w:eastAsia="zh-CN"/>
        </w:rPr>
        <w:t>both</w:t>
      </w:r>
      <w:r w:rsidR="008D6F69" w:rsidRPr="008D6F69">
        <w:rPr>
          <w:rFonts w:ascii="Calibri" w:eastAsia="Calibri" w:hAnsi="Calibri" w:cs="Times New Roman"/>
          <w:sz w:val="20"/>
          <w:szCs w:val="20"/>
          <w:lang w:val="en-GB" w:eastAsia="zh-CN"/>
        </w:rPr>
        <w:t xml:space="preserve"> </w:t>
      </w:r>
      <w:r w:rsidRPr="00457C5B">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8D6F69" w:rsidRPr="00457C5B">
        <w:rPr>
          <w:rFonts w:ascii="Calibri" w:eastAsia="Calibri" w:hAnsi="Calibri" w:cs="Times New Roman"/>
          <w:i/>
          <w:sz w:val="20"/>
          <w:szCs w:val="20"/>
          <w:lang w:val="en-GB" w:eastAsia="zh-CN"/>
        </w:rPr>
        <w:t>speciali</w:t>
      </w:r>
      <w:r w:rsidR="008D6F69">
        <w:rPr>
          <w:rFonts w:ascii="Calibri" w:eastAsia="Calibri" w:hAnsi="Calibri" w:cs="Times New Roman"/>
          <w:sz w:val="20"/>
          <w:szCs w:val="20"/>
          <w:lang w:val="en-GB" w:eastAsia="zh-CN"/>
        </w:rPr>
        <w:t>z</w:t>
      </w:r>
      <w:r w:rsidR="008D6F69" w:rsidRPr="00457C5B">
        <w:rPr>
          <w:rFonts w:ascii="Calibri" w:eastAsia="Calibri" w:hAnsi="Calibri" w:cs="Times New Roman"/>
          <w:i/>
          <w:sz w:val="20"/>
          <w:szCs w:val="20"/>
          <w:lang w:val="en-GB" w:eastAsia="zh-CN"/>
        </w:rPr>
        <w:t xml:space="preserve">ation </w:t>
      </w:r>
      <w:r w:rsidRPr="00457C5B">
        <w:rPr>
          <w:rFonts w:ascii="Calibri" w:eastAsia="Calibri" w:hAnsi="Calibri" w:cs="Times New Roman"/>
          <w:i/>
          <w:sz w:val="20"/>
          <w:szCs w:val="20"/>
          <w:lang w:val="en-GB" w:eastAsia="zh-CN"/>
        </w:rPr>
        <w:t>in dealing with ML/TF cases.</w:t>
      </w:r>
    </w:p>
    <w:p w14:paraId="0946AB2D" w14:textId="4BB5C970"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bCs/>
          <w:lang w:val="en-GB" w:eastAsia="zh-CN"/>
        </w:rPr>
        <w:t>In Belgium the public prosecutor leads the criminal investigation. When the FIU forward</w:t>
      </w:r>
      <w:r w:rsidR="008D6F69">
        <w:rPr>
          <w:rFonts w:ascii="Calibri" w:eastAsia="Calibri" w:hAnsi="Calibri" w:cs="Times New Roman"/>
          <w:bCs/>
          <w:lang w:val="en-GB" w:eastAsia="zh-CN"/>
        </w:rPr>
        <w:t>s</w:t>
      </w:r>
      <w:r w:rsidRPr="00E76739">
        <w:rPr>
          <w:rFonts w:ascii="Calibri" w:eastAsia="Calibri" w:hAnsi="Calibri" w:cs="Times New Roman"/>
          <w:bCs/>
          <w:lang w:val="en-GB" w:eastAsia="zh-CN"/>
        </w:rPr>
        <w:t xml:space="preserve"> a case to the competent public prosecutor, the latter has essentially four options: to drop the case immediately; to forward the case to the police to investigate some more details (when additional evidence is necessary); to appoint an investigative judge who can, for a certain period of time, take the lead </w:t>
      </w:r>
      <w:r w:rsidR="008D6F69">
        <w:rPr>
          <w:rFonts w:ascii="Calibri" w:eastAsia="Calibri" w:hAnsi="Calibri" w:cs="Times New Roman"/>
          <w:bCs/>
          <w:lang w:val="en-GB" w:eastAsia="zh-CN"/>
        </w:rPr>
        <w:t>in</w:t>
      </w:r>
      <w:r w:rsidR="008D6F69"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the criminal investigation; or to prosecute the case immediately on the sole basis of FIU information. According to Belgian representatives, an investigation judge is generally involved when special investigative techniques need to be used, or when coercive measures need to be imposed. Investigations led by an investigative judge generally take longer (4 to 5 months). With respect to prosecutorial</w:t>
      </w:r>
      <w:r w:rsidR="008D6F69">
        <w:rPr>
          <w:rFonts w:ascii="Calibri" w:eastAsia="Calibri" w:hAnsi="Calibri" w:cs="Times New Roman"/>
          <w:bCs/>
          <w:lang w:val="en-GB" w:eastAsia="zh-CN"/>
        </w:rPr>
        <w:t xml:space="preserve"> </w:t>
      </w:r>
      <w:r w:rsidR="008D6F69" w:rsidRPr="00E76739">
        <w:rPr>
          <w:rFonts w:ascii="Calibri" w:eastAsia="Calibri" w:hAnsi="Calibri" w:cs="Times New Roman"/>
          <w:bCs/>
          <w:lang w:val="en-GB" w:eastAsia="zh-CN"/>
        </w:rPr>
        <w:t>speciali</w:t>
      </w:r>
      <w:r w:rsidR="008D6F69">
        <w:rPr>
          <w:rFonts w:ascii="Calibri" w:eastAsia="Calibri" w:hAnsi="Calibri" w:cs="Times New Roman"/>
          <w:bCs/>
          <w:lang w:val="en-GB" w:eastAsia="zh-CN"/>
        </w:rPr>
        <w:t>z</w:t>
      </w:r>
      <w:r w:rsidR="008D6F69" w:rsidRPr="00E76739">
        <w:rPr>
          <w:rFonts w:ascii="Calibri" w:eastAsia="Calibri" w:hAnsi="Calibri" w:cs="Times New Roman"/>
          <w:bCs/>
          <w:lang w:val="en-GB" w:eastAsia="zh-CN"/>
        </w:rPr>
        <w:t>ation</w:t>
      </w:r>
      <w:r w:rsidRPr="00E76739">
        <w:rPr>
          <w:rFonts w:ascii="Calibri" w:eastAsia="Calibri" w:hAnsi="Calibri" w:cs="Times New Roman"/>
          <w:bCs/>
          <w:lang w:val="en-GB" w:eastAsia="zh-CN"/>
        </w:rPr>
        <w:t xml:space="preserve">, the </w:t>
      </w:r>
      <w:r w:rsidR="008D6F69">
        <w:rPr>
          <w:rFonts w:ascii="Calibri" w:eastAsia="Calibri" w:hAnsi="Calibri" w:cs="Times New Roman"/>
          <w:bCs/>
          <w:lang w:val="en-GB" w:eastAsia="zh-CN"/>
        </w:rPr>
        <w:t>f</w:t>
      </w:r>
      <w:r w:rsidR="008D6F69" w:rsidRPr="00E76739">
        <w:rPr>
          <w:rFonts w:ascii="Calibri" w:eastAsia="Calibri" w:hAnsi="Calibri" w:cs="Times New Roman"/>
          <w:bCs/>
          <w:lang w:val="en-GB" w:eastAsia="zh-CN"/>
        </w:rPr>
        <w:t xml:space="preserve">ederal </w:t>
      </w:r>
      <w:r w:rsidR="008D6F69">
        <w:rPr>
          <w:rFonts w:ascii="Calibri" w:eastAsia="Calibri" w:hAnsi="Calibri" w:cs="Times New Roman"/>
          <w:bCs/>
          <w:lang w:val="en-GB" w:eastAsia="zh-CN"/>
        </w:rPr>
        <w:t>p</w:t>
      </w:r>
      <w:r w:rsidR="008D6F69" w:rsidRPr="00E76739">
        <w:rPr>
          <w:rFonts w:ascii="Calibri" w:eastAsia="Calibri" w:hAnsi="Calibri" w:cs="Times New Roman"/>
          <w:bCs/>
          <w:lang w:val="en-GB" w:eastAsia="zh-CN"/>
        </w:rPr>
        <w:t xml:space="preserve">rosecutor </w:t>
      </w:r>
      <w:r w:rsidRPr="00E76739">
        <w:rPr>
          <w:rFonts w:ascii="Calibri" w:eastAsia="Calibri" w:hAnsi="Calibri" w:cs="Times New Roman"/>
          <w:bCs/>
          <w:lang w:val="en-GB" w:eastAsia="zh-CN"/>
        </w:rPr>
        <w:t xml:space="preserve">in Belgium is (mainly) responsible for taking up terrorism and terrorist financing cases. Only seldom will it prosecute ML cases as ML is generally handled by local prosecutors. </w:t>
      </w:r>
      <w:r w:rsidRPr="00E76739">
        <w:rPr>
          <w:rFonts w:ascii="Calibri" w:eastAsia="Calibri" w:hAnsi="Calibri" w:cs="Times New Roman"/>
          <w:lang w:val="en-GB" w:eastAsia="zh-CN"/>
        </w:rPr>
        <w:t xml:space="preserve">The </w:t>
      </w:r>
      <w:r w:rsidRPr="00E76739">
        <w:rPr>
          <w:rFonts w:ascii="Calibri" w:eastAsia="Calibri" w:hAnsi="Calibri" w:cs="Times New Roman"/>
          <w:lang w:val="en-GB" w:eastAsia="zh-CN"/>
        </w:rPr>
        <w:lastRenderedPageBreak/>
        <w:t>federal prosecutor has nationwide competence to prosecute</w:t>
      </w:r>
      <w:r w:rsidR="008D6F69">
        <w:rPr>
          <w:rFonts w:ascii="Calibri" w:eastAsia="Calibri" w:hAnsi="Calibri" w:cs="Times New Roman"/>
          <w:lang w:val="en-GB" w:eastAsia="zh-CN"/>
        </w:rPr>
        <w:t>,</w:t>
      </w:r>
      <w:r w:rsidRPr="00E76739">
        <w:rPr>
          <w:rFonts w:ascii="Calibri" w:eastAsia="Calibri" w:hAnsi="Calibri" w:cs="Times New Roman"/>
          <w:lang w:val="en-GB" w:eastAsia="zh-CN"/>
        </w:rPr>
        <w:t xml:space="preserve"> whereas district prosecutors have local jurisdiction. </w:t>
      </w:r>
    </w:p>
    <w:p w14:paraId="772183DC" w14:textId="2B2A7D21" w:rsidR="00E76739" w:rsidRPr="00E76739" w:rsidRDefault="00E76739" w:rsidP="00E76739">
      <w:pPr>
        <w:spacing w:after="240" w:line="240" w:lineRule="auto"/>
        <w:jc w:val="both"/>
        <w:rPr>
          <w:rFonts w:ascii="Calibri" w:eastAsia="Calibri" w:hAnsi="Calibri" w:cs="Times New Roman"/>
          <w:bCs/>
          <w:lang w:val="en-GB" w:eastAsia="zh-CN"/>
        </w:rPr>
      </w:pPr>
      <w:r w:rsidRPr="00E76739">
        <w:rPr>
          <w:rFonts w:ascii="Calibri" w:eastAsia="Calibri" w:hAnsi="Calibri" w:cs="Times New Roman"/>
          <w:bCs/>
          <w:lang w:val="en-GB" w:eastAsia="zh-CN"/>
        </w:rPr>
        <w:t xml:space="preserve">The FIU receives feedback from the public prosecutor or police when a case is terminated or brought before the court and a final judgment is given. This feedback is given annually, but on a case-specific basis. The information that the FIU supplies to the public prosecutor is used </w:t>
      </w:r>
      <w:r w:rsidR="008D6F69" w:rsidRPr="008D6F69">
        <w:rPr>
          <w:rFonts w:ascii="Calibri" w:eastAsia="Calibri" w:hAnsi="Calibri" w:cs="Times New Roman"/>
          <w:bCs/>
          <w:lang w:val="en-GB" w:eastAsia="zh-CN"/>
        </w:rPr>
        <w:t xml:space="preserve">either </w:t>
      </w:r>
      <w:r w:rsidRPr="00E76739">
        <w:rPr>
          <w:rFonts w:ascii="Calibri" w:eastAsia="Calibri" w:hAnsi="Calibri" w:cs="Times New Roman"/>
          <w:bCs/>
          <w:lang w:val="en-GB" w:eastAsia="zh-CN"/>
        </w:rPr>
        <w:t xml:space="preserve">as a starting point </w:t>
      </w:r>
      <w:r w:rsidR="008D6F69">
        <w:rPr>
          <w:rFonts w:ascii="Calibri" w:eastAsia="Calibri" w:hAnsi="Calibri" w:cs="Times New Roman"/>
          <w:bCs/>
          <w:lang w:val="en-GB" w:eastAsia="zh-CN"/>
        </w:rPr>
        <w:t>for</w:t>
      </w:r>
      <w:r w:rsidR="008D6F69"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 xml:space="preserve">a case (i.e. the information from the FIU itself can be sufficient reason for a public prosecutor to go to court), or as additional information </w:t>
      </w:r>
      <w:r w:rsidR="008D6F69">
        <w:rPr>
          <w:rFonts w:ascii="Calibri" w:eastAsia="Calibri" w:hAnsi="Calibri" w:cs="Times New Roman"/>
          <w:bCs/>
          <w:lang w:val="en-GB" w:eastAsia="zh-CN"/>
        </w:rPr>
        <w:t>in</w:t>
      </w:r>
      <w:r w:rsidR="008D6F69"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 xml:space="preserve">an ongoing law enforcement investigation. In judgments, the value of FIU reports on STRs is generally not mentioned. However, typologies or indicators have been mentioned in various judgments, for example the fact that a person </w:t>
      </w:r>
      <w:r w:rsidR="008D6F69">
        <w:rPr>
          <w:rFonts w:ascii="Calibri" w:eastAsia="Calibri" w:hAnsi="Calibri" w:cs="Times New Roman"/>
          <w:bCs/>
          <w:lang w:val="en-GB" w:eastAsia="zh-CN"/>
        </w:rPr>
        <w:t>was</w:t>
      </w:r>
      <w:r w:rsidR="008D6F69"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no</w:t>
      </w:r>
      <w:r w:rsidR="008D6F69">
        <w:rPr>
          <w:rFonts w:ascii="Calibri" w:eastAsia="Calibri" w:hAnsi="Calibri" w:cs="Times New Roman"/>
          <w:bCs/>
          <w:lang w:val="en-GB" w:eastAsia="zh-CN"/>
        </w:rPr>
        <w:t>t</w:t>
      </w:r>
      <w:r w:rsidRPr="00E76739">
        <w:rPr>
          <w:rFonts w:ascii="Calibri" w:eastAsia="Calibri" w:hAnsi="Calibri" w:cs="Times New Roman"/>
          <w:bCs/>
          <w:lang w:val="en-GB" w:eastAsia="zh-CN"/>
        </w:rPr>
        <w:t xml:space="preserve"> economic</w:t>
      </w:r>
      <w:r w:rsidR="008D6F69">
        <w:rPr>
          <w:rFonts w:ascii="Calibri" w:eastAsia="Calibri" w:hAnsi="Calibri" w:cs="Times New Roman"/>
          <w:bCs/>
          <w:lang w:val="en-GB" w:eastAsia="zh-CN"/>
        </w:rPr>
        <w:t>ally</w:t>
      </w:r>
      <w:r w:rsidRPr="00E76739">
        <w:rPr>
          <w:rFonts w:ascii="Calibri" w:eastAsia="Calibri" w:hAnsi="Calibri" w:cs="Times New Roman"/>
          <w:bCs/>
          <w:lang w:val="en-GB" w:eastAsia="zh-CN"/>
        </w:rPr>
        <w:t xml:space="preserve"> </w:t>
      </w:r>
      <w:r w:rsidR="008D6F69" w:rsidRPr="00E76739">
        <w:rPr>
          <w:rFonts w:ascii="Calibri" w:eastAsia="Calibri" w:hAnsi="Calibri" w:cs="Times New Roman"/>
          <w:bCs/>
          <w:lang w:val="en-GB" w:eastAsia="zh-CN"/>
        </w:rPr>
        <w:t>activ</w:t>
      </w:r>
      <w:r w:rsidR="008D6F69">
        <w:rPr>
          <w:rFonts w:ascii="Calibri" w:eastAsia="Calibri" w:hAnsi="Calibri" w:cs="Times New Roman"/>
          <w:bCs/>
          <w:lang w:val="en-GB" w:eastAsia="zh-CN"/>
        </w:rPr>
        <w:t>e,</w:t>
      </w:r>
      <w:r w:rsidR="008D6F69"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 xml:space="preserve">but was in possession of expensive cars and houses which could not be explained. </w:t>
      </w:r>
      <w:bookmarkStart w:id="7" w:name="_Toc341109079"/>
      <w:bookmarkStart w:id="8" w:name="_Toc341266519"/>
      <w:bookmarkStart w:id="9" w:name="_Toc341269274"/>
    </w:p>
    <w:p w14:paraId="5BCC76B2" w14:textId="77777777" w:rsidR="00E76739" w:rsidRPr="00E76739" w:rsidRDefault="00E76739" w:rsidP="00E76739">
      <w:pPr>
        <w:spacing w:after="0" w:line="240" w:lineRule="auto"/>
        <w:rPr>
          <w:rFonts w:ascii="Calibri" w:eastAsia="Calibri" w:hAnsi="Calibri" w:cs="Times New Roman"/>
          <w:bCs/>
          <w:lang w:val="en-GB" w:eastAsia="zh-CN"/>
        </w:rPr>
      </w:pPr>
      <w:r w:rsidRPr="00E76739">
        <w:rPr>
          <w:rFonts w:ascii="Calibri" w:eastAsia="Calibri" w:hAnsi="Calibri" w:cs="Times New Roman"/>
          <w:bCs/>
          <w:lang w:val="en-GB" w:eastAsia="zh-CN"/>
        </w:rPr>
        <w:br w:type="page"/>
      </w:r>
    </w:p>
    <w:p w14:paraId="4DF27A88" w14:textId="77777777" w:rsidR="00E76739" w:rsidRPr="00E76739" w:rsidRDefault="00BA07A1" w:rsidP="00E76739">
      <w:pPr>
        <w:spacing w:after="24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lastRenderedPageBreak/>
        <w:t>8</w:t>
      </w:r>
      <w:r w:rsidR="00E76739" w:rsidRPr="00E76739">
        <w:rPr>
          <w:rFonts w:ascii="Calibri" w:eastAsia="SimSun" w:hAnsi="Calibri" w:cs="Times New Roman"/>
          <w:b/>
          <w:bCs/>
          <w:lang w:val="en-GB" w:eastAsia="zh-CN"/>
        </w:rPr>
        <w:t xml:space="preserve">.5.3 </w:t>
      </w:r>
      <w:r w:rsidR="00E76739" w:rsidRPr="00E76739">
        <w:rPr>
          <w:rFonts w:ascii="Calibri" w:eastAsia="SimSun" w:hAnsi="Calibri" w:cs="Times New Roman"/>
          <w:b/>
          <w:bCs/>
          <w:lang w:val="en-GB" w:eastAsia="zh-CN"/>
        </w:rPr>
        <w:tab/>
        <w:t>Bulgaria</w:t>
      </w:r>
      <w:bookmarkEnd w:id="7"/>
      <w:bookmarkEnd w:id="8"/>
      <w:bookmarkEnd w:id="9"/>
    </w:p>
    <w:p w14:paraId="6A539483" w14:textId="5991FBF8" w:rsidR="00E76739" w:rsidRPr="00E76739" w:rsidRDefault="00E76739" w:rsidP="00E76739">
      <w:pPr>
        <w:spacing w:after="240" w:line="240" w:lineRule="auto"/>
        <w:jc w:val="both"/>
        <w:rPr>
          <w:rFonts w:ascii="Calibri" w:eastAsia="Times New Roman" w:hAnsi="Calibri" w:cs="Calibri"/>
          <w:lang w:val="en-GB"/>
        </w:rPr>
      </w:pPr>
      <w:bookmarkStart w:id="10" w:name="_Toc341109080"/>
      <w:bookmarkStart w:id="11" w:name="_Toc341266520"/>
      <w:bookmarkStart w:id="12" w:name="_Toc341269275"/>
      <w:r w:rsidRPr="00E76739">
        <w:rPr>
          <w:rFonts w:ascii="Calibri" w:eastAsia="Times New Roman" w:hAnsi="Calibri" w:cs="Calibri"/>
          <w:lang w:val="en-GB"/>
        </w:rPr>
        <w:t>In Bulgaria, upon the receipt of an STR, the FIU performs a financial analysis and forwards its conclusions</w:t>
      </w:r>
      <w:r w:rsidR="00D06333">
        <w:rPr>
          <w:rFonts w:ascii="Calibri" w:eastAsia="Times New Roman" w:hAnsi="Calibri" w:cs="Calibri"/>
          <w:lang w:val="en-GB"/>
        </w:rPr>
        <w:t>.</w:t>
      </w:r>
      <w:r w:rsidRPr="00E76739">
        <w:rPr>
          <w:rFonts w:ascii="Calibri" w:eastAsia="Times New Roman" w:hAnsi="Calibri" w:cs="Calibri"/>
          <w:vertAlign w:val="superscript"/>
          <w:lang w:val="en-GB"/>
        </w:rPr>
        <w:footnoteReference w:id="11"/>
      </w:r>
      <w:r w:rsidRPr="00E76739">
        <w:rPr>
          <w:rFonts w:ascii="Calibri" w:eastAsia="Times New Roman" w:hAnsi="Calibri" w:cs="Calibri"/>
          <w:lang w:val="en-GB"/>
        </w:rPr>
        <w:t xml:space="preserve"> The Bulgarian authorities mentioned that the </w:t>
      </w:r>
      <w:r w:rsidR="00D06333">
        <w:rPr>
          <w:rFonts w:ascii="Calibri" w:eastAsia="Times New Roman" w:hAnsi="Calibri" w:cs="Calibri"/>
          <w:lang w:val="en-GB"/>
        </w:rPr>
        <w:t>t</w:t>
      </w:r>
      <w:r w:rsidR="00D06333" w:rsidRPr="00E76739">
        <w:rPr>
          <w:rFonts w:ascii="Calibri" w:eastAsia="Times New Roman" w:hAnsi="Calibri" w:cs="Calibri"/>
          <w:lang w:val="en-GB"/>
        </w:rPr>
        <w:t xml:space="preserve">ax </w:t>
      </w:r>
      <w:r w:rsidR="00D06333">
        <w:rPr>
          <w:rFonts w:ascii="Calibri" w:eastAsia="Times New Roman" w:hAnsi="Calibri" w:cs="Calibri"/>
          <w:lang w:val="en-GB"/>
        </w:rPr>
        <w:t>o</w:t>
      </w:r>
      <w:r w:rsidR="00D06333" w:rsidRPr="00E76739">
        <w:rPr>
          <w:rFonts w:ascii="Calibri" w:eastAsia="Times New Roman" w:hAnsi="Calibri" w:cs="Calibri"/>
          <w:lang w:val="en-GB"/>
        </w:rPr>
        <w:t xml:space="preserve">ffice </w:t>
      </w:r>
      <w:r w:rsidRPr="00E76739">
        <w:rPr>
          <w:rFonts w:ascii="Calibri" w:eastAsia="Times New Roman" w:hAnsi="Calibri" w:cs="Calibri"/>
          <w:lang w:val="en-GB"/>
        </w:rPr>
        <w:t xml:space="preserve">also </w:t>
      </w:r>
      <w:r w:rsidR="00D06333" w:rsidRPr="00E76739">
        <w:rPr>
          <w:rFonts w:ascii="Calibri" w:eastAsia="Times New Roman" w:hAnsi="Calibri" w:cs="Calibri"/>
          <w:lang w:val="en-GB"/>
        </w:rPr>
        <w:t>send</w:t>
      </w:r>
      <w:r w:rsidR="00D06333">
        <w:rPr>
          <w:rFonts w:ascii="Calibri" w:eastAsia="Times New Roman" w:hAnsi="Calibri" w:cs="Calibri"/>
          <w:lang w:val="en-GB"/>
        </w:rPr>
        <w:t>s</w:t>
      </w:r>
      <w:r w:rsidR="00D06333" w:rsidRPr="00E76739">
        <w:rPr>
          <w:rFonts w:ascii="Calibri" w:eastAsia="Times New Roman" w:hAnsi="Calibri" w:cs="Calibri"/>
          <w:lang w:val="en-GB"/>
        </w:rPr>
        <w:t xml:space="preserve"> </w:t>
      </w:r>
      <w:r w:rsidRPr="00E76739">
        <w:rPr>
          <w:rFonts w:ascii="Calibri" w:eastAsia="Times New Roman" w:hAnsi="Calibri" w:cs="Calibri"/>
          <w:lang w:val="en-GB"/>
        </w:rPr>
        <w:t>reports to the FIU for further investigation.</w:t>
      </w:r>
      <w:r w:rsidR="00DA07F4">
        <w:rPr>
          <w:rFonts w:ascii="Calibri" w:eastAsia="Times New Roman" w:hAnsi="Calibri" w:cs="Calibri"/>
          <w:lang w:val="en-GB"/>
        </w:rPr>
        <w:t xml:space="preserve"> </w:t>
      </w:r>
    </w:p>
    <w:p w14:paraId="23754F04" w14:textId="73D202C0" w:rsidR="00E76739" w:rsidRPr="00E76739" w:rsidRDefault="00E76739" w:rsidP="00E76739">
      <w:pPr>
        <w:spacing w:after="240" w:line="240" w:lineRule="auto"/>
        <w:jc w:val="both"/>
        <w:rPr>
          <w:rFonts w:ascii="Calibri" w:eastAsia="Times New Roman" w:hAnsi="Calibri" w:cs="Calibri"/>
          <w:lang w:val="en-GB"/>
        </w:rPr>
      </w:pPr>
      <w:r w:rsidRPr="00E76739">
        <w:rPr>
          <w:rFonts w:ascii="Calibri" w:eastAsia="Times New Roman" w:hAnsi="Calibri" w:cs="Calibri"/>
          <w:lang w:val="en-GB"/>
        </w:rPr>
        <w:t xml:space="preserve">According to the FIU representatives, the FIU has disclosed a large proportion of the results of its analyses to the competent directorates of SANS for further checks </w:t>
      </w:r>
      <w:r w:rsidR="00D06333">
        <w:rPr>
          <w:rFonts w:ascii="Calibri" w:eastAsia="Times New Roman" w:hAnsi="Calibri" w:cs="Calibri"/>
          <w:lang w:val="en-GB"/>
        </w:rPr>
        <w:t>with</w:t>
      </w:r>
      <w:r w:rsidR="00D06333" w:rsidRPr="00E76739">
        <w:rPr>
          <w:rFonts w:ascii="Calibri" w:eastAsia="Times New Roman" w:hAnsi="Calibri" w:cs="Calibri"/>
          <w:lang w:val="en-GB"/>
        </w:rPr>
        <w:t xml:space="preserve"> </w:t>
      </w:r>
      <w:r w:rsidRPr="00E76739">
        <w:rPr>
          <w:rFonts w:ascii="Calibri" w:eastAsia="Times New Roman" w:hAnsi="Calibri" w:cs="Calibri"/>
          <w:lang w:val="en-GB"/>
        </w:rPr>
        <w:t xml:space="preserve">regard to potential money laundering. A significantly smaller number of disclosures have </w:t>
      </w:r>
      <w:r w:rsidR="00D06333" w:rsidRPr="00D06333">
        <w:rPr>
          <w:rFonts w:ascii="Calibri" w:eastAsia="Times New Roman" w:hAnsi="Calibri" w:cs="Calibri"/>
          <w:lang w:val="en-GB"/>
        </w:rPr>
        <w:t xml:space="preserve">also </w:t>
      </w:r>
      <w:r w:rsidRPr="00E76739">
        <w:rPr>
          <w:rFonts w:ascii="Calibri" w:eastAsia="Times New Roman" w:hAnsi="Calibri" w:cs="Calibri"/>
          <w:lang w:val="en-GB"/>
        </w:rPr>
        <w:t xml:space="preserve">been made in relation </w:t>
      </w:r>
      <w:r w:rsidR="00D06333">
        <w:rPr>
          <w:rFonts w:ascii="Calibri" w:eastAsia="Times New Roman" w:hAnsi="Calibri" w:cs="Calibri"/>
          <w:lang w:val="en-GB"/>
        </w:rPr>
        <w:t>to</w:t>
      </w:r>
      <w:r w:rsidR="00D06333" w:rsidRPr="00E76739">
        <w:rPr>
          <w:rFonts w:ascii="Calibri" w:eastAsia="Times New Roman" w:hAnsi="Calibri" w:cs="Calibri"/>
          <w:lang w:val="en-GB"/>
        </w:rPr>
        <w:t xml:space="preserve"> </w:t>
      </w:r>
      <w:r w:rsidR="00D06333">
        <w:rPr>
          <w:rFonts w:ascii="Calibri" w:eastAsia="Times New Roman" w:hAnsi="Calibri" w:cs="Calibri"/>
          <w:lang w:val="en-GB"/>
        </w:rPr>
        <w:t>suspected</w:t>
      </w:r>
      <w:r w:rsidRPr="00E76739">
        <w:rPr>
          <w:rFonts w:ascii="Calibri" w:eastAsia="Times New Roman" w:hAnsi="Calibri" w:cs="Calibri"/>
          <w:lang w:val="en-GB"/>
        </w:rPr>
        <w:t xml:space="preserve"> terrorist financing cases. FIU representatives stated that during 2008</w:t>
      </w:r>
      <w:r w:rsidR="00D06333">
        <w:rPr>
          <w:rFonts w:ascii="Calibri" w:eastAsia="Times New Roman" w:hAnsi="Calibri" w:cs="Calibri"/>
          <w:lang w:val="en-GB"/>
        </w:rPr>
        <w:t>–</w:t>
      </w:r>
      <w:r w:rsidRPr="00E76739">
        <w:rPr>
          <w:rFonts w:ascii="Calibri" w:eastAsia="Times New Roman" w:hAnsi="Calibri" w:cs="Calibri"/>
          <w:lang w:val="en-GB"/>
        </w:rPr>
        <w:t xml:space="preserve">12 almost half of the disclosures made by the FIU were sent to the special directorates of SANS. A large </w:t>
      </w:r>
      <w:r w:rsidR="00D06333">
        <w:rPr>
          <w:rFonts w:ascii="Calibri" w:eastAsia="Times New Roman" w:hAnsi="Calibri" w:cs="Calibri"/>
          <w:lang w:val="en-GB"/>
        </w:rPr>
        <w:t>number</w:t>
      </w:r>
      <w:r w:rsidR="00D06333" w:rsidRPr="00E76739">
        <w:rPr>
          <w:rFonts w:ascii="Calibri" w:eastAsia="Times New Roman" w:hAnsi="Calibri" w:cs="Calibri"/>
          <w:lang w:val="en-GB"/>
        </w:rPr>
        <w:t xml:space="preserve"> </w:t>
      </w:r>
      <w:r w:rsidRPr="00E76739">
        <w:rPr>
          <w:rFonts w:ascii="Calibri" w:eastAsia="Times New Roman" w:hAnsi="Calibri" w:cs="Calibri"/>
          <w:lang w:val="en-GB"/>
        </w:rPr>
        <w:t xml:space="preserve">of these disclosures </w:t>
      </w:r>
      <w:r w:rsidR="00D06333" w:rsidRPr="00E76739">
        <w:rPr>
          <w:rFonts w:ascii="Calibri" w:eastAsia="Times New Roman" w:hAnsi="Calibri" w:cs="Calibri"/>
          <w:lang w:val="en-GB"/>
        </w:rPr>
        <w:t>w</w:t>
      </w:r>
      <w:r w:rsidR="00D06333">
        <w:rPr>
          <w:rFonts w:ascii="Calibri" w:eastAsia="Times New Roman" w:hAnsi="Calibri" w:cs="Calibri"/>
          <w:lang w:val="en-GB"/>
        </w:rPr>
        <w:t>ere</w:t>
      </w:r>
      <w:r w:rsidR="00D06333" w:rsidRPr="00E76739">
        <w:rPr>
          <w:rFonts w:ascii="Calibri" w:eastAsia="Times New Roman" w:hAnsi="Calibri" w:cs="Calibri"/>
          <w:lang w:val="en-GB"/>
        </w:rPr>
        <w:t xml:space="preserve"> </w:t>
      </w:r>
      <w:r w:rsidRPr="00E76739">
        <w:rPr>
          <w:rFonts w:ascii="Calibri" w:eastAsia="Times New Roman" w:hAnsi="Calibri" w:cs="Calibri"/>
          <w:lang w:val="en-GB"/>
        </w:rPr>
        <w:t xml:space="preserve">reportedly sent to the </w:t>
      </w:r>
      <w:r w:rsidR="00D06333" w:rsidRPr="00E76739">
        <w:rPr>
          <w:rFonts w:ascii="Calibri" w:eastAsia="Times New Roman" w:hAnsi="Calibri" w:cs="Calibri"/>
          <w:lang w:val="en-GB"/>
        </w:rPr>
        <w:t>speciali</w:t>
      </w:r>
      <w:r w:rsidR="00D06333">
        <w:rPr>
          <w:rFonts w:ascii="Calibri" w:eastAsia="Times New Roman" w:hAnsi="Calibri" w:cs="Calibri"/>
          <w:lang w:val="en-GB"/>
        </w:rPr>
        <w:t>z</w:t>
      </w:r>
      <w:r w:rsidR="00D06333" w:rsidRPr="00E76739">
        <w:rPr>
          <w:rFonts w:ascii="Calibri" w:eastAsia="Times New Roman" w:hAnsi="Calibri" w:cs="Calibri"/>
          <w:lang w:val="en-GB"/>
        </w:rPr>
        <w:t xml:space="preserve">ed </w:t>
      </w:r>
      <w:r w:rsidRPr="00E76739">
        <w:rPr>
          <w:rFonts w:ascii="Calibri" w:eastAsia="Times New Roman" w:hAnsi="Calibri" w:cs="Calibri"/>
          <w:lang w:val="en-GB"/>
        </w:rPr>
        <w:t>directorates of the Ministry of Interior Affairs. Further</w:t>
      </w:r>
      <w:r w:rsidR="00D06333">
        <w:rPr>
          <w:rFonts w:ascii="Calibri" w:eastAsia="Times New Roman" w:hAnsi="Calibri" w:cs="Calibri"/>
          <w:lang w:val="en-GB"/>
        </w:rPr>
        <w:t>,</w:t>
      </w:r>
      <w:r w:rsidRPr="00E76739">
        <w:rPr>
          <w:rFonts w:ascii="Calibri" w:eastAsia="Times New Roman" w:hAnsi="Calibri" w:cs="Calibri"/>
          <w:lang w:val="en-GB"/>
        </w:rPr>
        <w:t xml:space="preserve"> the FIU also sent information directly to the PPO when there </w:t>
      </w:r>
      <w:r w:rsidR="00D06333">
        <w:rPr>
          <w:rFonts w:ascii="Calibri" w:eastAsia="Times New Roman" w:hAnsi="Calibri" w:cs="Calibri"/>
          <w:lang w:val="en-GB"/>
        </w:rPr>
        <w:t>wa</w:t>
      </w:r>
      <w:r w:rsidR="00D06333" w:rsidRPr="00E76739">
        <w:rPr>
          <w:rFonts w:ascii="Calibri" w:eastAsia="Times New Roman" w:hAnsi="Calibri" w:cs="Calibri"/>
          <w:lang w:val="en-GB"/>
        </w:rPr>
        <w:t xml:space="preserve">s </w:t>
      </w:r>
      <w:r w:rsidRPr="00E76739">
        <w:rPr>
          <w:rFonts w:ascii="Calibri" w:eastAsia="Times New Roman" w:hAnsi="Calibri" w:cs="Calibri"/>
          <w:lang w:val="en-GB"/>
        </w:rPr>
        <w:t xml:space="preserve">enough information to immediately undertake pre-trial investigation or prosecution. </w:t>
      </w:r>
    </w:p>
    <w:p w14:paraId="666515BB" w14:textId="65C16A39" w:rsidR="00E76739" w:rsidRPr="00E76739" w:rsidRDefault="00E76739" w:rsidP="00E76739">
      <w:pPr>
        <w:spacing w:after="0" w:line="240" w:lineRule="auto"/>
        <w:jc w:val="both"/>
        <w:rPr>
          <w:rFonts w:ascii="Calibri" w:eastAsia="Times New Roman" w:hAnsi="Calibri" w:cs="Calibri"/>
          <w:lang w:val="en-GB"/>
        </w:rPr>
      </w:pPr>
      <w:r w:rsidRPr="00E76739">
        <w:rPr>
          <w:rFonts w:ascii="Calibri" w:eastAsia="Times New Roman" w:hAnsi="Calibri" w:cs="Calibri"/>
          <w:lang w:val="en-GB"/>
        </w:rPr>
        <w:t xml:space="preserve">These operative entities supplement the analysis of the FIU with non-financial information that positions the suspect in a possibly criminal environment. </w:t>
      </w:r>
      <w:r w:rsidR="007111D7">
        <w:rPr>
          <w:rFonts w:ascii="Calibri" w:eastAsia="Times New Roman" w:hAnsi="Calibri" w:cs="Calibri"/>
          <w:lang w:val="en-GB"/>
        </w:rPr>
        <w:t>During the course of their analysis,</w:t>
      </w:r>
      <w:r w:rsidR="007111D7" w:rsidRPr="00E76739">
        <w:rPr>
          <w:rFonts w:ascii="Calibri" w:eastAsia="Times New Roman" w:hAnsi="Calibri" w:cs="Calibri"/>
          <w:lang w:val="en-GB"/>
        </w:rPr>
        <w:t xml:space="preserve"> </w:t>
      </w:r>
      <w:r w:rsidR="007111D7">
        <w:rPr>
          <w:rFonts w:ascii="Calibri" w:eastAsia="Times New Roman" w:hAnsi="Calibri" w:cs="Calibri"/>
          <w:lang w:val="en-GB"/>
        </w:rPr>
        <w:t>t</w:t>
      </w:r>
      <w:r w:rsidR="007111D7" w:rsidRPr="00E76739">
        <w:rPr>
          <w:rFonts w:ascii="Calibri" w:eastAsia="Times New Roman" w:hAnsi="Calibri" w:cs="Calibri"/>
          <w:lang w:val="en-GB"/>
        </w:rPr>
        <w:t xml:space="preserve">hese </w:t>
      </w:r>
      <w:r w:rsidRPr="00E76739">
        <w:rPr>
          <w:rFonts w:ascii="Calibri" w:eastAsia="Times New Roman" w:hAnsi="Calibri" w:cs="Calibri"/>
          <w:lang w:val="en-GB"/>
        </w:rPr>
        <w:t xml:space="preserve">officers can request the assistance of the PPO. Finally, when a case contains sufficient information, the operative officers forward their case to the PPO and a criminal investigation is started. At this point, police investigators </w:t>
      </w:r>
      <w:r w:rsidR="007111D7">
        <w:rPr>
          <w:rFonts w:ascii="Calibri" w:eastAsia="Times New Roman" w:hAnsi="Calibri" w:cs="Calibri"/>
          <w:lang w:val="en-GB"/>
        </w:rPr>
        <w:t>can begin</w:t>
      </w:r>
      <w:r w:rsidRPr="00E76739">
        <w:rPr>
          <w:rFonts w:ascii="Calibri" w:eastAsia="Times New Roman" w:hAnsi="Calibri" w:cs="Calibri"/>
          <w:lang w:val="en-GB"/>
        </w:rPr>
        <w:t xml:space="preserve"> a pre-trial investigation</w:t>
      </w:r>
      <w:r w:rsidR="007111D7">
        <w:rPr>
          <w:rFonts w:ascii="Calibri" w:eastAsia="Times New Roman" w:hAnsi="Calibri" w:cs="Calibri"/>
          <w:lang w:val="en-GB"/>
        </w:rPr>
        <w:t xml:space="preserve"> under the supervision of investigative magistrates</w:t>
      </w:r>
      <w:r w:rsidRPr="00E76739">
        <w:rPr>
          <w:rFonts w:ascii="Calibri" w:eastAsia="Times New Roman" w:hAnsi="Calibri" w:cs="Calibri"/>
          <w:lang w:val="en-GB"/>
        </w:rPr>
        <w:t xml:space="preserve">. </w:t>
      </w:r>
    </w:p>
    <w:p w14:paraId="4EFF9980" w14:textId="77777777" w:rsidR="00E76739" w:rsidRPr="00E76739" w:rsidRDefault="00E76739" w:rsidP="00E76739">
      <w:pPr>
        <w:spacing w:after="0" w:line="240" w:lineRule="auto"/>
        <w:jc w:val="both"/>
        <w:rPr>
          <w:rFonts w:ascii="Calibri" w:eastAsia="SimSun" w:hAnsi="Calibri" w:cs="Times New Roman"/>
          <w:lang w:val="en-GB"/>
        </w:rPr>
      </w:pPr>
    </w:p>
    <w:p w14:paraId="3EB092ED" w14:textId="4814FE00" w:rsidR="00E76739" w:rsidRPr="00E76739" w:rsidRDefault="00E76739" w:rsidP="00E76739">
      <w:pPr>
        <w:spacing w:after="0" w:line="240" w:lineRule="auto"/>
        <w:jc w:val="center"/>
        <w:rPr>
          <w:rFonts w:ascii="Calibri" w:eastAsia="SimSun" w:hAnsi="Calibri" w:cs="Times New Roman"/>
          <w:b/>
          <w:lang w:val="en-GB"/>
        </w:rPr>
      </w:pPr>
      <w:bookmarkStart w:id="13" w:name="_Toc350517094"/>
      <w:r w:rsidRPr="00E76739">
        <w:rPr>
          <w:rFonts w:ascii="Calibri" w:eastAsia="SimSun" w:hAnsi="Calibri" w:cs="Times New Roman"/>
          <w:b/>
          <w:lang w:val="en-GB"/>
        </w:rPr>
        <w:t xml:space="preserve">Figure </w:t>
      </w:r>
      <w:r w:rsidR="00BA07A1">
        <w:rPr>
          <w:rFonts w:ascii="Calibri" w:eastAsia="SimSun" w:hAnsi="Calibri" w:cs="Times New Roman"/>
          <w:b/>
          <w:lang w:val="en-GB"/>
        </w:rPr>
        <w:t>8</w:t>
      </w:r>
      <w:r w:rsidRPr="00E76739">
        <w:rPr>
          <w:rFonts w:ascii="Calibri" w:eastAsia="SimSun" w:hAnsi="Calibri" w:cs="Times New Roman"/>
          <w:b/>
          <w:lang w:val="en-GB"/>
        </w:rPr>
        <w:t>.</w:t>
      </w:r>
      <w:r w:rsidR="000A5122">
        <w:rPr>
          <w:rFonts w:ascii="Calibri" w:eastAsia="SimSun" w:hAnsi="Calibri" w:cs="Times New Roman"/>
          <w:b/>
          <w:lang w:val="en-GB"/>
        </w:rPr>
        <w:t>7</w:t>
      </w:r>
      <w:r w:rsidRPr="00E76739">
        <w:rPr>
          <w:rFonts w:ascii="Calibri" w:eastAsia="SimSun" w:hAnsi="Calibri" w:cs="Times New Roman"/>
          <w:b/>
          <w:lang w:val="en-GB"/>
        </w:rPr>
        <w:t>: AML/CTF Information flows in Bulgaria</w:t>
      </w:r>
      <w:bookmarkEnd w:id="13"/>
    </w:p>
    <w:p w14:paraId="17015642" w14:textId="77777777" w:rsidR="00E76739" w:rsidRPr="00E76739" w:rsidRDefault="00E76739" w:rsidP="00E76739">
      <w:pPr>
        <w:spacing w:after="0" w:line="240" w:lineRule="auto"/>
        <w:jc w:val="center"/>
        <w:rPr>
          <w:rFonts w:ascii="Calibri" w:eastAsia="SimSun" w:hAnsi="Calibri" w:cs="Times New Roman"/>
          <w:b/>
          <w:bCs/>
          <w:lang w:val="en-GB"/>
        </w:rPr>
      </w:pPr>
    </w:p>
    <w:p w14:paraId="2956D262" w14:textId="77777777" w:rsidR="00E76739" w:rsidRPr="00E76739" w:rsidRDefault="00E76739" w:rsidP="00E76739">
      <w:pPr>
        <w:spacing w:after="0" w:line="240" w:lineRule="auto"/>
        <w:jc w:val="both"/>
        <w:rPr>
          <w:rFonts w:ascii="Calibri" w:eastAsia="Times New Roman" w:hAnsi="Calibri" w:cs="Calibri"/>
          <w:lang w:val="en-GB"/>
        </w:rPr>
      </w:pPr>
      <w:r w:rsidRPr="00E76739">
        <w:rPr>
          <w:rFonts w:ascii="Calibri" w:eastAsia="Times New Roman" w:hAnsi="Calibri" w:cs="Calibri"/>
          <w:noProof/>
          <w:lang w:val="en-US" w:eastAsia="en-US"/>
        </w:rPr>
        <w:drawing>
          <wp:inline distT="0" distB="0" distL="0" distR="0" wp14:anchorId="7DF0B121" wp14:editId="15C830A8">
            <wp:extent cx="5971604" cy="3562709"/>
            <wp:effectExtent l="19050" t="0" r="0" b="0"/>
            <wp:docPr id="25" name="Picture 4" descr="BulgariaFlow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Flows (1).jpeg"/>
                    <pic:cNvPicPr/>
                  </pic:nvPicPr>
                  <pic:blipFill>
                    <a:blip r:embed="rId12" cstate="print"/>
                    <a:srcRect l="4616" t="18421" r="6531" b="12970"/>
                    <a:stretch>
                      <a:fillRect/>
                    </a:stretch>
                  </pic:blipFill>
                  <pic:spPr>
                    <a:xfrm>
                      <a:off x="0" y="0"/>
                      <a:ext cx="5971604" cy="3562709"/>
                    </a:xfrm>
                    <a:prstGeom prst="rect">
                      <a:avLst/>
                    </a:prstGeom>
                  </pic:spPr>
                </pic:pic>
              </a:graphicData>
            </a:graphic>
          </wp:inline>
        </w:drawing>
      </w:r>
    </w:p>
    <w:p w14:paraId="02D1BA1E" w14:textId="7270DCDE" w:rsidR="00E76739" w:rsidRPr="00E76739" w:rsidRDefault="00E76739" w:rsidP="00E76739">
      <w:pPr>
        <w:spacing w:after="240" w:line="240" w:lineRule="auto"/>
        <w:jc w:val="both"/>
        <w:rPr>
          <w:rFonts w:ascii="Calibri" w:eastAsia="Calibri" w:hAnsi="Calibri" w:cs="Times New Roman"/>
          <w:i/>
          <w:sz w:val="20"/>
          <w:szCs w:val="20"/>
          <w:lang w:val="en-GB" w:eastAsia="zh-CN"/>
        </w:rPr>
      </w:pPr>
      <w:r w:rsidRPr="00E76739">
        <w:rPr>
          <w:rFonts w:ascii="Calibri" w:eastAsia="Calibri" w:hAnsi="Calibri" w:cs="Times New Roman"/>
          <w:i/>
          <w:sz w:val="20"/>
          <w:szCs w:val="20"/>
          <w:lang w:val="en-GB" w:eastAsia="zh-CN"/>
        </w:rPr>
        <w:lastRenderedPageBreak/>
        <w:t xml:space="preserve">Legend: In the figure above the red arrows show the ML/TF flows of information; blue arrows represent the feedback given and received by the FIU; the thickness of the arrows reflects the intensity of the information flows –in terms of </w:t>
      </w:r>
      <w:r w:rsidR="009D6AA2" w:rsidRPr="009D6AA2">
        <w:rPr>
          <w:rFonts w:ascii="Calibri" w:eastAsia="Calibri" w:hAnsi="Calibri" w:cs="Times New Roman"/>
          <w:i/>
          <w:sz w:val="20"/>
          <w:szCs w:val="20"/>
          <w:lang w:val="en-GB" w:eastAsia="zh-CN"/>
        </w:rPr>
        <w:t xml:space="preserve">both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9D6AA2" w:rsidRPr="00E76739">
        <w:rPr>
          <w:rFonts w:ascii="Calibri" w:eastAsia="Calibri" w:hAnsi="Calibri" w:cs="Times New Roman"/>
          <w:i/>
          <w:sz w:val="20"/>
          <w:szCs w:val="20"/>
          <w:lang w:val="en-GB" w:eastAsia="zh-CN"/>
        </w:rPr>
        <w:t>speciali</w:t>
      </w:r>
      <w:r w:rsidR="009D6AA2">
        <w:rPr>
          <w:rFonts w:ascii="Calibri" w:eastAsia="Calibri" w:hAnsi="Calibri" w:cs="Times New Roman"/>
          <w:i/>
          <w:sz w:val="20"/>
          <w:szCs w:val="20"/>
          <w:lang w:val="en-GB" w:eastAsia="zh-CN"/>
        </w:rPr>
        <w:t>z</w:t>
      </w:r>
      <w:r w:rsidR="009D6AA2"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in dealing with ML/TF cases.</w:t>
      </w:r>
    </w:p>
    <w:p w14:paraId="42DDD36F" w14:textId="28D25BBE" w:rsidR="00E76739" w:rsidRPr="00E76739" w:rsidRDefault="00E76739" w:rsidP="00E76739">
      <w:pPr>
        <w:spacing w:after="240" w:line="240" w:lineRule="auto"/>
        <w:jc w:val="both"/>
        <w:rPr>
          <w:rFonts w:ascii="Calibri" w:eastAsia="Times New Roman" w:hAnsi="Calibri" w:cs="Calibri"/>
          <w:lang w:val="en-GB"/>
        </w:rPr>
      </w:pPr>
      <w:r w:rsidRPr="00E76739">
        <w:rPr>
          <w:rFonts w:ascii="Calibri" w:eastAsia="Times New Roman" w:hAnsi="Calibri" w:cs="Calibri"/>
          <w:lang w:val="en-GB"/>
        </w:rPr>
        <w:t xml:space="preserve">The law enforcement entities are not obliged to automatically send feedback to the FIU </w:t>
      </w:r>
      <w:r w:rsidR="00C36381">
        <w:rPr>
          <w:rFonts w:ascii="Calibri" w:eastAsia="Times New Roman" w:hAnsi="Calibri" w:cs="Calibri"/>
          <w:lang w:val="en-GB"/>
        </w:rPr>
        <w:t>with</w:t>
      </w:r>
      <w:r w:rsidR="00C36381" w:rsidRPr="00E76739">
        <w:rPr>
          <w:rFonts w:ascii="Calibri" w:eastAsia="Times New Roman" w:hAnsi="Calibri" w:cs="Calibri"/>
          <w:lang w:val="en-GB"/>
        </w:rPr>
        <w:t xml:space="preserve"> </w:t>
      </w:r>
      <w:r w:rsidRPr="00E76739">
        <w:rPr>
          <w:rFonts w:ascii="Calibri" w:eastAsia="Times New Roman" w:hAnsi="Calibri" w:cs="Calibri"/>
          <w:lang w:val="en-GB"/>
        </w:rPr>
        <w:t xml:space="preserve">regard to the outcome (initiated pre-trial proceedings or prosecution) of the disclosures sent to them. However, the FIU authorities argue that the FIU receives feedback in other ways. Annually, the FIU receives approximately 300 requests from the competent law enforcement structures (including SANS, the Ministry of Interior and the prosecution services) for </w:t>
      </w:r>
      <w:r w:rsidR="00C36381" w:rsidRPr="00E76739">
        <w:rPr>
          <w:rFonts w:ascii="Calibri" w:eastAsia="Times New Roman" w:hAnsi="Calibri" w:cs="Calibri"/>
          <w:lang w:val="en-GB"/>
        </w:rPr>
        <w:t>cross</w:t>
      </w:r>
      <w:r w:rsidR="00C36381">
        <w:rPr>
          <w:rFonts w:ascii="Calibri" w:eastAsia="Times New Roman" w:hAnsi="Calibri" w:cs="Calibri"/>
          <w:lang w:val="en-GB"/>
        </w:rPr>
        <w:t>-</w:t>
      </w:r>
      <w:r w:rsidRPr="00E76739">
        <w:rPr>
          <w:rFonts w:ascii="Calibri" w:eastAsia="Times New Roman" w:hAnsi="Calibri" w:cs="Calibri"/>
          <w:lang w:val="en-GB"/>
        </w:rPr>
        <w:t xml:space="preserve">checks with the FIU database. These requests are also taken into account when analysing future STRs. The interests of the law enforcement authorities are therefore incorporated into the future work of the FIU. In addition to this, the Bulgarian authorities argue that the LEAs usually revert back to the FIU after receiving a disclosure, in order to work on identifying further information on links or to ensure a proper financial analysis of the case and of the persons involved in the offence. Annually, the FIU seems to receive approximately 300 such inquiries. </w:t>
      </w:r>
    </w:p>
    <w:p w14:paraId="53052E8E" w14:textId="510F88C9" w:rsidR="00E76739" w:rsidRPr="00E76739" w:rsidRDefault="00E76739" w:rsidP="00E76739">
      <w:pPr>
        <w:spacing w:after="240" w:line="240" w:lineRule="auto"/>
        <w:jc w:val="both"/>
        <w:rPr>
          <w:rFonts w:ascii="Calibri" w:eastAsia="Times New Roman" w:hAnsi="Calibri" w:cs="Calibri"/>
          <w:lang w:val="en-GB"/>
        </w:rPr>
      </w:pPr>
      <w:r w:rsidRPr="00E76739">
        <w:rPr>
          <w:rFonts w:ascii="Calibri" w:eastAsia="Times New Roman" w:hAnsi="Calibri" w:cs="Calibri"/>
          <w:lang w:val="en-GB"/>
        </w:rPr>
        <w:t>Furthermore, the FIU representative mentions that</w:t>
      </w:r>
      <w:r w:rsidR="00C36381">
        <w:rPr>
          <w:rFonts w:ascii="Calibri" w:eastAsia="Times New Roman" w:hAnsi="Calibri" w:cs="Calibri"/>
          <w:lang w:val="en-GB"/>
        </w:rPr>
        <w:t>,</w:t>
      </w:r>
      <w:r w:rsidRPr="00E76739">
        <w:rPr>
          <w:rFonts w:ascii="Calibri" w:eastAsia="Times New Roman" w:hAnsi="Calibri" w:cs="Calibri"/>
          <w:lang w:val="en-GB"/>
        </w:rPr>
        <w:t xml:space="preserve"> on the more important cases, cooperation between the FIU and the LEAs is very good. This is supported by the Bulgarian PPO representative, who argues that the PPO takes a serious </w:t>
      </w:r>
      <w:r w:rsidR="00C36381">
        <w:rPr>
          <w:rFonts w:ascii="Calibri" w:eastAsia="Times New Roman" w:hAnsi="Calibri" w:cs="Calibri"/>
          <w:lang w:val="en-GB"/>
        </w:rPr>
        <w:t>view</w:t>
      </w:r>
      <w:r w:rsidR="00C36381" w:rsidRPr="00E76739">
        <w:rPr>
          <w:rFonts w:ascii="Calibri" w:eastAsia="Times New Roman" w:hAnsi="Calibri" w:cs="Calibri"/>
          <w:lang w:val="en-GB"/>
        </w:rPr>
        <w:t xml:space="preserve"> </w:t>
      </w:r>
      <w:r w:rsidR="00C36381">
        <w:rPr>
          <w:rFonts w:ascii="Calibri" w:eastAsia="Times New Roman" w:hAnsi="Calibri" w:cs="Calibri"/>
          <w:lang w:val="en-GB"/>
        </w:rPr>
        <w:t>of</w:t>
      </w:r>
      <w:r w:rsidR="00C36381" w:rsidRPr="00E76739">
        <w:rPr>
          <w:rFonts w:ascii="Calibri" w:eastAsia="Times New Roman" w:hAnsi="Calibri" w:cs="Calibri"/>
          <w:lang w:val="en-GB"/>
        </w:rPr>
        <w:t xml:space="preserve"> </w:t>
      </w:r>
      <w:r w:rsidRPr="00E76739">
        <w:rPr>
          <w:rFonts w:ascii="Calibri" w:eastAsia="Times New Roman" w:hAnsi="Calibri" w:cs="Calibri"/>
          <w:lang w:val="en-GB"/>
        </w:rPr>
        <w:t xml:space="preserve">assisting and giving feedback to the FIU and to the operative agents of the SANS and of the Ministry of Interior. This is due to the fact that the PPO </w:t>
      </w:r>
      <w:r w:rsidR="00C36381" w:rsidRPr="00E76739">
        <w:rPr>
          <w:rFonts w:ascii="Calibri" w:eastAsia="Times New Roman" w:hAnsi="Calibri" w:cs="Calibri"/>
          <w:lang w:val="en-GB"/>
        </w:rPr>
        <w:t>recogni</w:t>
      </w:r>
      <w:r w:rsidR="00C36381">
        <w:rPr>
          <w:rFonts w:ascii="Calibri" w:eastAsia="Times New Roman" w:hAnsi="Calibri" w:cs="Calibri"/>
          <w:lang w:val="en-GB"/>
        </w:rPr>
        <w:t>z</w:t>
      </w:r>
      <w:r w:rsidR="00C36381" w:rsidRPr="00E76739">
        <w:rPr>
          <w:rFonts w:ascii="Calibri" w:eastAsia="Times New Roman" w:hAnsi="Calibri" w:cs="Calibri"/>
          <w:lang w:val="en-GB"/>
        </w:rPr>
        <w:t xml:space="preserve">es </w:t>
      </w:r>
      <w:r w:rsidRPr="00E76739">
        <w:rPr>
          <w:rFonts w:ascii="Calibri" w:eastAsia="Times New Roman" w:hAnsi="Calibri" w:cs="Calibri"/>
          <w:lang w:val="en-GB"/>
        </w:rPr>
        <w:t>the importance of the preventive investigations in what later constitutes the prosecution’s work. However, there is no requirement for the PPO to guide the FIU on this matter.</w:t>
      </w:r>
    </w:p>
    <w:p w14:paraId="08D7D747" w14:textId="1BD5B3B3" w:rsidR="00E76739" w:rsidRPr="00E76739" w:rsidRDefault="00E76739" w:rsidP="00E76739">
      <w:pPr>
        <w:spacing w:after="0" w:line="240" w:lineRule="auto"/>
        <w:jc w:val="both"/>
        <w:rPr>
          <w:rFonts w:ascii="Calibri" w:eastAsia="Times New Roman" w:hAnsi="Calibri" w:cs="Calibri"/>
          <w:lang w:val="en-GB"/>
        </w:rPr>
      </w:pPr>
      <w:r w:rsidRPr="00E76739">
        <w:rPr>
          <w:rFonts w:ascii="Calibri" w:eastAsia="Times New Roman" w:hAnsi="Calibri" w:cs="Calibri"/>
          <w:lang w:val="en-GB"/>
        </w:rPr>
        <w:t xml:space="preserve">With respect to </w:t>
      </w:r>
      <w:r w:rsidR="00C36381" w:rsidRPr="00E76739">
        <w:rPr>
          <w:rFonts w:ascii="Calibri" w:eastAsia="Times New Roman" w:hAnsi="Calibri" w:cs="Calibri"/>
          <w:lang w:val="en-GB"/>
        </w:rPr>
        <w:t>speciali</w:t>
      </w:r>
      <w:r w:rsidR="00C36381">
        <w:rPr>
          <w:rFonts w:ascii="Calibri" w:eastAsia="Times New Roman" w:hAnsi="Calibri" w:cs="Calibri"/>
          <w:lang w:val="en-GB"/>
        </w:rPr>
        <w:t>z</w:t>
      </w:r>
      <w:r w:rsidR="00C36381" w:rsidRPr="00E76739">
        <w:rPr>
          <w:rFonts w:ascii="Calibri" w:eastAsia="Times New Roman" w:hAnsi="Calibri" w:cs="Calibri"/>
          <w:lang w:val="en-GB"/>
        </w:rPr>
        <w:t>ation</w:t>
      </w:r>
      <w:r w:rsidRPr="00E76739">
        <w:rPr>
          <w:rFonts w:ascii="Calibri" w:eastAsia="Times New Roman" w:hAnsi="Calibri" w:cs="Calibri"/>
          <w:lang w:val="en-GB"/>
        </w:rPr>
        <w:t xml:space="preserve">, in Bulgaria, within the Supreme Cassation Prosecution’s Office there is a special AML department that deals with the most complex money laundering cases and, given the hierarchical structure of the Bulgarian prosecution system, is also in charge of giving support to district prosecution offices and magistrates dealing with money laundering cases. In 2012 a </w:t>
      </w:r>
      <w:r w:rsidR="00C36381" w:rsidRPr="00E76739">
        <w:rPr>
          <w:rFonts w:ascii="Calibri" w:eastAsia="Times New Roman" w:hAnsi="Calibri" w:cs="Calibri"/>
          <w:lang w:val="en-GB"/>
        </w:rPr>
        <w:t>Speciali</w:t>
      </w:r>
      <w:r w:rsidR="00C36381">
        <w:rPr>
          <w:rFonts w:ascii="Calibri" w:eastAsia="Times New Roman" w:hAnsi="Calibri" w:cs="Calibri"/>
          <w:lang w:val="en-GB"/>
        </w:rPr>
        <w:t>z</w:t>
      </w:r>
      <w:r w:rsidR="00C36381" w:rsidRPr="00E76739">
        <w:rPr>
          <w:rFonts w:ascii="Calibri" w:eastAsia="Times New Roman" w:hAnsi="Calibri" w:cs="Calibri"/>
          <w:lang w:val="en-GB"/>
        </w:rPr>
        <w:t xml:space="preserve">ed </w:t>
      </w:r>
      <w:r w:rsidRPr="00E76739">
        <w:rPr>
          <w:rFonts w:ascii="Calibri" w:eastAsia="Times New Roman" w:hAnsi="Calibri" w:cs="Calibri"/>
          <w:lang w:val="en-GB"/>
        </w:rPr>
        <w:t>Criminal Court will be inaugurated where, according to the Bulgarian representatives</w:t>
      </w:r>
      <w:r w:rsidR="00C36381">
        <w:rPr>
          <w:rFonts w:ascii="Calibri" w:eastAsia="Times New Roman" w:hAnsi="Calibri" w:cs="Calibri"/>
          <w:lang w:val="en-GB"/>
        </w:rPr>
        <w:t>,</w:t>
      </w:r>
      <w:r w:rsidRPr="00E76739">
        <w:rPr>
          <w:rFonts w:ascii="Calibri" w:eastAsia="Times New Roman" w:hAnsi="Calibri" w:cs="Calibri"/>
          <w:lang w:val="en-GB"/>
        </w:rPr>
        <w:t xml:space="preserve"> ML and TF cases will be able to be </w:t>
      </w:r>
      <w:r w:rsidR="005D1D92" w:rsidRPr="005D1D92">
        <w:rPr>
          <w:rFonts w:ascii="Calibri" w:eastAsia="Times New Roman" w:hAnsi="Calibri" w:cs="Calibri"/>
          <w:lang w:val="en-GB"/>
        </w:rPr>
        <w:t xml:space="preserve">better </w:t>
      </w:r>
      <w:r w:rsidRPr="00E76739">
        <w:rPr>
          <w:rFonts w:ascii="Calibri" w:eastAsia="Times New Roman" w:hAnsi="Calibri" w:cs="Calibri"/>
          <w:lang w:val="en-GB"/>
        </w:rPr>
        <w:t>investigated and tried</w:t>
      </w:r>
      <w:r w:rsidR="00C36381">
        <w:rPr>
          <w:rFonts w:ascii="Calibri" w:eastAsia="Times New Roman" w:hAnsi="Calibri" w:cs="Calibri"/>
          <w:lang w:val="en-GB"/>
        </w:rPr>
        <w:t>.</w:t>
      </w:r>
      <w:r w:rsidRPr="00E76739">
        <w:rPr>
          <w:rFonts w:ascii="Calibri" w:eastAsia="Times New Roman" w:hAnsi="Calibri" w:cs="Calibri"/>
          <w:vertAlign w:val="superscript"/>
          <w:lang w:val="en-GB"/>
        </w:rPr>
        <w:footnoteReference w:id="12"/>
      </w:r>
      <w:r w:rsidRPr="00E76739">
        <w:rPr>
          <w:rFonts w:ascii="Calibri" w:eastAsia="Times New Roman" w:hAnsi="Calibri" w:cs="Calibri"/>
          <w:lang w:val="en-GB"/>
        </w:rPr>
        <w:t xml:space="preserve"> There will also be a </w:t>
      </w:r>
      <w:r w:rsidR="005D1D92" w:rsidRPr="00E76739">
        <w:rPr>
          <w:rFonts w:ascii="Calibri" w:eastAsia="Times New Roman" w:hAnsi="Calibri" w:cs="Calibri"/>
          <w:lang w:val="en-GB"/>
        </w:rPr>
        <w:t>speciali</w:t>
      </w:r>
      <w:r w:rsidR="005D1D92">
        <w:rPr>
          <w:rFonts w:ascii="Calibri" w:eastAsia="Times New Roman" w:hAnsi="Calibri" w:cs="Calibri"/>
          <w:lang w:val="en-GB"/>
        </w:rPr>
        <w:t>z</w:t>
      </w:r>
      <w:r w:rsidR="005D1D92" w:rsidRPr="00E76739">
        <w:rPr>
          <w:rFonts w:ascii="Calibri" w:eastAsia="Times New Roman" w:hAnsi="Calibri" w:cs="Calibri"/>
          <w:lang w:val="en-GB"/>
        </w:rPr>
        <w:t xml:space="preserve">ed </w:t>
      </w:r>
      <w:r w:rsidRPr="00E76739">
        <w:rPr>
          <w:rFonts w:ascii="Calibri" w:eastAsia="Times New Roman" w:hAnsi="Calibri" w:cs="Calibri"/>
          <w:lang w:val="en-GB"/>
        </w:rPr>
        <w:t xml:space="preserve">PPO for </w:t>
      </w:r>
      <w:r w:rsidR="005D1D92" w:rsidRPr="00E76739">
        <w:rPr>
          <w:rFonts w:ascii="Calibri" w:eastAsia="Times New Roman" w:hAnsi="Calibri" w:cs="Calibri"/>
          <w:lang w:val="en-GB"/>
        </w:rPr>
        <w:t>organi</w:t>
      </w:r>
      <w:r w:rsidR="005D1D92">
        <w:rPr>
          <w:rFonts w:ascii="Calibri" w:eastAsia="Times New Roman" w:hAnsi="Calibri" w:cs="Calibri"/>
          <w:lang w:val="en-GB"/>
        </w:rPr>
        <w:t>z</w:t>
      </w:r>
      <w:r w:rsidR="005D1D92" w:rsidRPr="00E76739">
        <w:rPr>
          <w:rFonts w:ascii="Calibri" w:eastAsia="Times New Roman" w:hAnsi="Calibri" w:cs="Calibri"/>
          <w:lang w:val="en-GB"/>
        </w:rPr>
        <w:t xml:space="preserve">ed </w:t>
      </w:r>
      <w:r w:rsidRPr="00E76739">
        <w:rPr>
          <w:rFonts w:ascii="Calibri" w:eastAsia="Times New Roman" w:hAnsi="Calibri" w:cs="Calibri"/>
          <w:lang w:val="en-GB"/>
        </w:rPr>
        <w:t>crime that will investigate money laundering and terrorist financing.</w:t>
      </w:r>
    </w:p>
    <w:p w14:paraId="5B6A8287"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201E56AD"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46EFF853"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.5.4 </w:t>
      </w:r>
      <w:r w:rsidR="00E76739" w:rsidRPr="00E76739">
        <w:rPr>
          <w:rFonts w:ascii="Calibri" w:eastAsia="SimSun" w:hAnsi="Calibri" w:cs="Times New Roman"/>
          <w:b/>
          <w:bCs/>
          <w:lang w:val="en-GB" w:eastAsia="zh-CN"/>
        </w:rPr>
        <w:tab/>
        <w:t>Cyprus</w:t>
      </w:r>
      <w:bookmarkEnd w:id="10"/>
      <w:bookmarkEnd w:id="11"/>
      <w:bookmarkEnd w:id="12"/>
    </w:p>
    <w:p w14:paraId="7F165AF2"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17ABEB1B" w14:textId="1CB69229"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In Cyprus, the head of the FIU is the first filter </w:t>
      </w:r>
      <w:r w:rsidR="005D1D92">
        <w:rPr>
          <w:rFonts w:ascii="Calibri" w:eastAsia="Times New Roman" w:hAnsi="Calibri" w:cs="Calibri"/>
          <w:lang w:val="en-GB" w:eastAsia="zh-CN"/>
        </w:rPr>
        <w:t>for</w:t>
      </w:r>
      <w:r w:rsidR="005D1D92"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the reports that reach the FIU. Based on the profile of the SAR, on the background of the investigators and on the number of cases that they are working on at </w:t>
      </w:r>
      <w:r w:rsidR="005D1D92" w:rsidRPr="00E76739">
        <w:rPr>
          <w:rFonts w:ascii="Calibri" w:eastAsia="Times New Roman" w:hAnsi="Calibri" w:cs="Calibri"/>
          <w:lang w:val="en-GB" w:eastAsia="zh-CN"/>
        </w:rPr>
        <w:t>th</w:t>
      </w:r>
      <w:r w:rsidR="005D1D92">
        <w:rPr>
          <w:rFonts w:ascii="Calibri" w:eastAsia="Times New Roman" w:hAnsi="Calibri" w:cs="Calibri"/>
          <w:lang w:val="en-GB" w:eastAsia="zh-CN"/>
        </w:rPr>
        <w:t>e</w:t>
      </w:r>
      <w:r w:rsidR="005D1D92"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time, the head </w:t>
      </w:r>
      <w:r w:rsidR="005D1D92">
        <w:rPr>
          <w:rFonts w:ascii="Calibri" w:eastAsia="Times New Roman" w:hAnsi="Calibri" w:cs="Calibri"/>
          <w:lang w:val="en-GB" w:eastAsia="zh-CN"/>
        </w:rPr>
        <w:t xml:space="preserve">of the FIU </w:t>
      </w:r>
      <w:r w:rsidRPr="00E76739">
        <w:rPr>
          <w:rFonts w:ascii="Calibri" w:eastAsia="Times New Roman" w:hAnsi="Calibri" w:cs="Calibri"/>
          <w:lang w:val="en-GB" w:eastAsia="zh-CN"/>
        </w:rPr>
        <w:t xml:space="preserve">decides on who will be the investigator of the SAR. The head can designate one or more investigators (a team) depending on the size of the case. The FIU performs the analysis of the STR </w:t>
      </w:r>
      <w:r w:rsidR="005D1D92">
        <w:rPr>
          <w:rFonts w:ascii="Calibri" w:eastAsia="Times New Roman" w:hAnsi="Calibri" w:cs="Calibri"/>
          <w:lang w:val="en-GB" w:eastAsia="zh-CN"/>
        </w:rPr>
        <w:t>and</w:t>
      </w:r>
      <w:r w:rsidR="005D1D92"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also the criminal investigation. All members of MOKAS have investigative powers; that is, they have the </w:t>
      </w:r>
      <w:r w:rsidR="005D1D92" w:rsidRPr="00E76739">
        <w:rPr>
          <w:rFonts w:ascii="Calibri" w:eastAsia="Times New Roman" w:hAnsi="Calibri" w:cs="Calibri"/>
          <w:lang w:val="en-GB" w:eastAsia="zh-CN"/>
        </w:rPr>
        <w:t>po</w:t>
      </w:r>
      <w:r w:rsidR="005D1D92">
        <w:rPr>
          <w:rFonts w:ascii="Calibri" w:eastAsia="Times New Roman" w:hAnsi="Calibri" w:cs="Calibri"/>
          <w:lang w:val="en-GB" w:eastAsia="zh-CN"/>
        </w:rPr>
        <w:t>wer</w:t>
      </w:r>
      <w:r w:rsidR="005D1D92"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to interrogate, take witness statements and travel abroad to receive information, and more. Further, the FIU usually cooperates with the other LEAs in Cyprus during their investigation. </w:t>
      </w:r>
    </w:p>
    <w:p w14:paraId="39672195" w14:textId="77777777" w:rsidR="00E76739" w:rsidRPr="00E76739" w:rsidRDefault="00E76739" w:rsidP="00E76739">
      <w:pPr>
        <w:spacing w:after="0" w:line="240" w:lineRule="auto"/>
        <w:rPr>
          <w:rFonts w:ascii="Calibri" w:eastAsia="SimSun" w:hAnsi="Calibri" w:cs="Times New Roman"/>
          <w:b/>
          <w:lang w:val="en-GB" w:eastAsia="zh-CN"/>
        </w:rPr>
      </w:pPr>
      <w:r w:rsidRPr="00E76739">
        <w:rPr>
          <w:rFonts w:ascii="Calibri" w:eastAsia="SimSun" w:hAnsi="Calibri" w:cs="Times New Roman"/>
          <w:b/>
          <w:lang w:val="en-GB" w:eastAsia="zh-CN"/>
        </w:rPr>
        <w:br w:type="page"/>
      </w:r>
    </w:p>
    <w:p w14:paraId="44802280" w14:textId="2311FD0C" w:rsidR="00E76739" w:rsidRPr="00E76739" w:rsidRDefault="00E76739" w:rsidP="00E76739">
      <w:pPr>
        <w:spacing w:after="0" w:line="240" w:lineRule="auto"/>
        <w:jc w:val="center"/>
        <w:rPr>
          <w:rFonts w:ascii="Calibri" w:eastAsia="SimSun" w:hAnsi="Calibri" w:cs="Times New Roman"/>
          <w:b/>
          <w:lang w:val="en-GB" w:eastAsia="zh-CN"/>
        </w:rPr>
      </w:pPr>
      <w:bookmarkStart w:id="14" w:name="_Toc350517095"/>
      <w:r w:rsidRPr="00E76739">
        <w:rPr>
          <w:rFonts w:ascii="Calibri" w:eastAsia="SimSun" w:hAnsi="Calibri" w:cs="Times New Roman"/>
          <w:b/>
          <w:lang w:val="en-GB" w:eastAsia="zh-CN"/>
        </w:rPr>
        <w:lastRenderedPageBreak/>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0A5122">
        <w:rPr>
          <w:rFonts w:ascii="Calibri" w:eastAsia="SimSun" w:hAnsi="Calibri" w:cs="Times New Roman"/>
          <w:b/>
          <w:lang w:val="en-GB" w:eastAsia="zh-CN"/>
        </w:rPr>
        <w:t>8</w:t>
      </w:r>
      <w:r w:rsidRPr="00E76739">
        <w:rPr>
          <w:rFonts w:ascii="Calibri" w:eastAsia="SimSun" w:hAnsi="Calibri" w:cs="Times New Roman"/>
          <w:b/>
          <w:lang w:val="en-GB" w:eastAsia="zh-CN"/>
        </w:rPr>
        <w:t>: AML/CTF Information flows in Cyprus</w:t>
      </w:r>
      <w:bookmarkEnd w:id="14"/>
    </w:p>
    <w:p w14:paraId="02B86C62" w14:textId="77777777" w:rsidR="00E76739" w:rsidRPr="00E76739" w:rsidRDefault="00E76739" w:rsidP="00E76739">
      <w:pPr>
        <w:spacing w:after="0" w:line="240" w:lineRule="auto"/>
        <w:jc w:val="both"/>
        <w:rPr>
          <w:rFonts w:ascii="Calibri" w:eastAsia="Times New Roman" w:hAnsi="Calibri" w:cs="Calibri"/>
          <w:i/>
          <w:lang w:val="en-GB" w:eastAsia="zh-CN"/>
        </w:rPr>
      </w:pPr>
      <w:r w:rsidRPr="00E76739">
        <w:rPr>
          <w:rFonts w:ascii="Calibri" w:eastAsia="Times New Roman" w:hAnsi="Calibri" w:cs="Calibri"/>
          <w:i/>
          <w:noProof/>
          <w:lang w:val="en-US" w:eastAsia="en-US"/>
        </w:rPr>
        <w:drawing>
          <wp:inline distT="0" distB="0" distL="0" distR="0" wp14:anchorId="3BFF65A3" wp14:editId="4FEAF86E">
            <wp:extent cx="5915025" cy="3028950"/>
            <wp:effectExtent l="0" t="0" r="9525" b="0"/>
            <wp:docPr id="26" name="Afbeelding 24" descr="CyprusFlow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yprusFlow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3028950"/>
                    </a:xfrm>
                    <a:prstGeom prst="rect">
                      <a:avLst/>
                    </a:prstGeom>
                    <a:noFill/>
                    <a:ln>
                      <a:noFill/>
                    </a:ln>
                  </pic:spPr>
                </pic:pic>
              </a:graphicData>
            </a:graphic>
          </wp:inline>
        </w:drawing>
      </w:r>
    </w:p>
    <w:p w14:paraId="7822A3F2" w14:textId="2CCBAD8B" w:rsidR="00E76739" w:rsidRPr="00E76739" w:rsidRDefault="00E76739" w:rsidP="00E76739">
      <w:pPr>
        <w:spacing w:after="24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C2265C">
        <w:rPr>
          <w:rFonts w:ascii="Calibri" w:eastAsia="Times New Roman" w:hAnsi="Calibri" w:cs="Calibri"/>
          <w:i/>
          <w:sz w:val="20"/>
          <w:szCs w:val="20"/>
          <w:lang w:val="en-GB" w:eastAsia="zh-CN"/>
        </w:rPr>
        <w:t>both</w:t>
      </w:r>
      <w:r w:rsidR="00C2265C"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C2265C" w:rsidRPr="00E76739">
        <w:rPr>
          <w:rFonts w:ascii="Calibri" w:eastAsia="Times New Roman" w:hAnsi="Calibri" w:cs="Calibri"/>
          <w:i/>
          <w:sz w:val="20"/>
          <w:szCs w:val="20"/>
          <w:lang w:val="en-GB" w:eastAsia="zh-CN"/>
        </w:rPr>
        <w:t>speciali</w:t>
      </w:r>
      <w:r w:rsidR="00C2265C">
        <w:rPr>
          <w:rFonts w:ascii="Calibri" w:eastAsia="Times New Roman" w:hAnsi="Calibri" w:cs="Calibri"/>
          <w:i/>
          <w:sz w:val="20"/>
          <w:szCs w:val="20"/>
          <w:lang w:val="en-GB" w:eastAsia="zh-CN"/>
        </w:rPr>
        <w:t>z</w:t>
      </w:r>
      <w:r w:rsidR="00C2265C"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in dealing with ML/TF cases.</w:t>
      </w:r>
    </w:p>
    <w:p w14:paraId="63F86B88" w14:textId="0F0DD69F"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The Cypriot representative argues that the FIU works closely with the police and in particular with the financial crime department and the drugs law enforcement department of the police. The FIU can and does request the assistance of these police officers in their investigation</w:t>
      </w:r>
      <w:r w:rsidR="004D5B82">
        <w:rPr>
          <w:rFonts w:ascii="Calibri" w:eastAsia="Times New Roman" w:hAnsi="Calibri" w:cs="Calibri"/>
          <w:lang w:val="en-GB" w:eastAsia="zh-CN"/>
        </w:rPr>
        <w:t>s</w:t>
      </w:r>
      <w:r w:rsidRPr="00E76739">
        <w:rPr>
          <w:rFonts w:ascii="Calibri" w:eastAsia="Times New Roman" w:hAnsi="Calibri" w:cs="Calibri"/>
          <w:lang w:val="en-GB" w:eastAsia="zh-CN"/>
        </w:rPr>
        <w:t xml:space="preserve"> and to clarify whether some cases </w:t>
      </w:r>
      <w:r w:rsidR="004D5B82">
        <w:rPr>
          <w:rFonts w:ascii="Calibri" w:eastAsia="Times New Roman" w:hAnsi="Calibri" w:cs="Calibri"/>
          <w:lang w:val="en-GB" w:eastAsia="zh-CN"/>
        </w:rPr>
        <w:t>might</w:t>
      </w:r>
      <w:r w:rsidR="004D5B82"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be connected to drugs-related offences or not. Also, the police can request assistance in cases where the expertise of MOKAS </w:t>
      </w:r>
      <w:r w:rsidR="004D5B82">
        <w:rPr>
          <w:rFonts w:ascii="Calibri" w:eastAsia="Times New Roman" w:hAnsi="Calibri" w:cs="Calibri"/>
          <w:lang w:val="en-GB" w:eastAsia="zh-CN"/>
        </w:rPr>
        <w:t>might</w:t>
      </w:r>
      <w:r w:rsidR="004D5B82"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be useful. </w:t>
      </w:r>
    </w:p>
    <w:p w14:paraId="4C423179" w14:textId="20EF55A6"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When confronted with a case under police investigation which also involves money laundering, the investigation is prepared by the police and by their experts, while the FIU adds their investigation on money laundering to the police report. Further, the prosecutors of MOKAS offer legal assistance to their counterparts </w:t>
      </w:r>
      <w:r w:rsidR="004D5B82">
        <w:rPr>
          <w:rFonts w:ascii="Calibri" w:eastAsia="Times New Roman" w:hAnsi="Calibri" w:cs="Calibri"/>
          <w:lang w:val="en-GB" w:eastAsia="zh-CN"/>
        </w:rPr>
        <w:t>in</w:t>
      </w:r>
      <w:r w:rsidR="004D5B82"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the Attorney General’s Office (AGO) in cases involving money laundering and terrorist financing. They are also responsible for the confiscation of assets and goods once a conviction has been achieved.</w:t>
      </w:r>
    </w:p>
    <w:p w14:paraId="2270CC78" w14:textId="723F9E4E"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With respect to feedback and </w:t>
      </w:r>
      <w:r w:rsidR="004D5B82" w:rsidRPr="00E76739">
        <w:rPr>
          <w:rFonts w:ascii="Calibri" w:eastAsia="Times New Roman" w:hAnsi="Calibri" w:cs="Calibri"/>
          <w:lang w:val="en-GB" w:eastAsia="zh-CN"/>
        </w:rPr>
        <w:t>speciali</w:t>
      </w:r>
      <w:r w:rsidR="004D5B82">
        <w:rPr>
          <w:rFonts w:ascii="Calibri" w:eastAsia="Times New Roman" w:hAnsi="Calibri" w:cs="Calibri"/>
          <w:lang w:val="en-GB" w:eastAsia="zh-CN"/>
        </w:rPr>
        <w:t>z</w:t>
      </w:r>
      <w:r w:rsidR="004D5B82" w:rsidRPr="00E76739">
        <w:rPr>
          <w:rFonts w:ascii="Calibri" w:eastAsia="Times New Roman" w:hAnsi="Calibri" w:cs="Calibri"/>
          <w:lang w:val="en-GB" w:eastAsia="zh-CN"/>
        </w:rPr>
        <w:t>ation</w:t>
      </w:r>
      <w:r w:rsidRPr="00E76739">
        <w:rPr>
          <w:rFonts w:ascii="Calibri" w:eastAsia="Times New Roman" w:hAnsi="Calibri" w:cs="Calibri"/>
          <w:lang w:val="en-GB" w:eastAsia="zh-CN"/>
        </w:rPr>
        <w:t xml:space="preserve">, the FIU seems to be the leading authority in AML/CTF matters, involved </w:t>
      </w:r>
      <w:r w:rsidR="004D5B82">
        <w:rPr>
          <w:rFonts w:ascii="Calibri" w:eastAsia="Times New Roman" w:hAnsi="Calibri" w:cs="Calibri"/>
          <w:lang w:val="en-GB" w:eastAsia="zh-CN"/>
        </w:rPr>
        <w:t>at</w:t>
      </w:r>
      <w:r w:rsidR="004D5B82"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all stages of preventive and repressive enforcement. </w:t>
      </w:r>
    </w:p>
    <w:p w14:paraId="5C60E571" w14:textId="77777777" w:rsidR="00E76739" w:rsidRPr="00E76739" w:rsidRDefault="00E76739" w:rsidP="00E76739">
      <w:pPr>
        <w:spacing w:after="0" w:line="240" w:lineRule="auto"/>
        <w:rPr>
          <w:rFonts w:ascii="Calibri" w:eastAsia="SimSun" w:hAnsi="Calibri" w:cs="Times New Roman"/>
          <w:b/>
          <w:bCs/>
          <w:lang w:val="en-GB" w:eastAsia="zh-CN"/>
        </w:rPr>
      </w:pPr>
      <w:bookmarkStart w:id="15" w:name="_Toc341109081"/>
      <w:bookmarkStart w:id="16" w:name="_Toc341266521"/>
      <w:bookmarkStart w:id="17" w:name="_Toc341269276"/>
    </w:p>
    <w:p w14:paraId="0C4F15B1" w14:textId="77777777" w:rsidR="00E76739" w:rsidRPr="00E76739" w:rsidRDefault="00E76739" w:rsidP="00E76739">
      <w:pPr>
        <w:spacing w:after="0" w:line="240" w:lineRule="auto"/>
        <w:rPr>
          <w:rFonts w:ascii="Calibri" w:eastAsia="SimSun" w:hAnsi="Calibri" w:cs="Times New Roman"/>
          <w:b/>
          <w:bCs/>
          <w:lang w:val="en-GB" w:eastAsia="zh-CN"/>
        </w:rPr>
      </w:pPr>
    </w:p>
    <w:p w14:paraId="50FFE185"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.5.5 </w:t>
      </w:r>
      <w:r w:rsidR="00E76739" w:rsidRPr="00E76739">
        <w:rPr>
          <w:rFonts w:ascii="Calibri" w:eastAsia="SimSun" w:hAnsi="Calibri" w:cs="Times New Roman"/>
          <w:b/>
          <w:bCs/>
          <w:lang w:val="en-GB" w:eastAsia="zh-CN"/>
        </w:rPr>
        <w:tab/>
        <w:t>Czech Republic</w:t>
      </w:r>
      <w:bookmarkEnd w:id="15"/>
      <w:bookmarkEnd w:id="16"/>
      <w:bookmarkEnd w:id="17"/>
    </w:p>
    <w:p w14:paraId="037B8A54"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35767848" w14:textId="44487371"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If the Czech FIU (also known as the Financial Analytical Unit </w:t>
      </w:r>
      <w:r w:rsidR="00A151A1">
        <w:rPr>
          <w:rFonts w:ascii="Calibri" w:eastAsia="Calibri" w:hAnsi="Calibri" w:cs="Times New Roman"/>
          <w:lang w:val="en-GB" w:eastAsia="zh-CN"/>
        </w:rPr>
        <w:t>–</w:t>
      </w:r>
      <w:r w:rsidRPr="00E76739">
        <w:rPr>
          <w:rFonts w:ascii="Calibri" w:eastAsia="Calibri" w:hAnsi="Calibri" w:cs="Times New Roman"/>
          <w:lang w:val="en-GB" w:eastAsia="zh-CN"/>
        </w:rPr>
        <w:t xml:space="preserve"> FAU) finds facts suggesting that a crime </w:t>
      </w:r>
      <w:r w:rsidR="00A151A1" w:rsidRPr="00E76739">
        <w:rPr>
          <w:rFonts w:ascii="Calibri" w:eastAsia="Calibri" w:hAnsi="Calibri" w:cs="Times New Roman"/>
          <w:lang w:val="en-GB" w:eastAsia="zh-CN"/>
        </w:rPr>
        <w:t>ha</w:t>
      </w:r>
      <w:r w:rsidR="00A151A1">
        <w:rPr>
          <w:rFonts w:ascii="Calibri" w:eastAsia="Calibri" w:hAnsi="Calibri" w:cs="Times New Roman"/>
          <w:lang w:val="en-GB" w:eastAsia="zh-CN"/>
        </w:rPr>
        <w:t>s</w:t>
      </w:r>
      <w:r w:rsidR="00A151A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been committed, it shall lodge a criminal complaint under the Code of Criminal Procedure and provide the law enforcement authority with all the information that the Ministry </w:t>
      </w:r>
      <w:r w:rsidR="00875D56" w:rsidRPr="00E76739">
        <w:rPr>
          <w:rFonts w:ascii="Calibri" w:eastAsia="Calibri" w:hAnsi="Calibri" w:cs="Times New Roman"/>
          <w:lang w:val="en-GB" w:eastAsia="zh-CN"/>
        </w:rPr>
        <w:t>ha</w:t>
      </w:r>
      <w:r w:rsidR="00875D56">
        <w:rPr>
          <w:rFonts w:ascii="Calibri" w:eastAsia="Calibri" w:hAnsi="Calibri" w:cs="Times New Roman"/>
          <w:lang w:val="en-GB" w:eastAsia="zh-CN"/>
        </w:rPr>
        <w:t>s</w:t>
      </w:r>
      <w:r w:rsidR="00875D56"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found in the course of its investigation.</w:t>
      </w:r>
      <w:r w:rsidRPr="00E76739">
        <w:rPr>
          <w:rFonts w:ascii="Calibri" w:eastAsia="Calibri" w:hAnsi="Calibri" w:cs="Times New Roman"/>
          <w:vertAlign w:val="superscript"/>
          <w:lang w:val="en-GB" w:eastAsia="zh-CN"/>
        </w:rPr>
        <w:footnoteReference w:id="13"/>
      </w:r>
      <w:r w:rsidRPr="00E76739">
        <w:rPr>
          <w:rFonts w:ascii="Calibri" w:eastAsia="Calibri" w:hAnsi="Calibri" w:cs="Times New Roman"/>
          <w:lang w:val="en-GB" w:eastAsia="zh-CN"/>
        </w:rPr>
        <w:t xml:space="preserve"> The Czech representatives argue that this provision allows the law enforcement </w:t>
      </w:r>
      <w:r w:rsidRPr="00E76739">
        <w:rPr>
          <w:rFonts w:ascii="Calibri" w:eastAsia="Calibri" w:hAnsi="Calibri" w:cs="Times New Roman"/>
          <w:lang w:val="en-GB" w:eastAsia="zh-CN"/>
        </w:rPr>
        <w:lastRenderedPageBreak/>
        <w:t>authorities better access to cases that are in the public interest. Moreover, the FAU reports suspicion without necessarily looking for evidence, given the administrative nature of the Czech FIU</w:t>
      </w:r>
      <w:r w:rsidR="00875D56">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14"/>
      </w:r>
      <w:r w:rsidR="00DA07F4">
        <w:rPr>
          <w:rFonts w:ascii="Calibri" w:eastAsia="Calibri" w:hAnsi="Calibri" w:cs="Times New Roman"/>
          <w:lang w:val="en-GB" w:eastAsia="zh-CN"/>
        </w:rPr>
        <w:t xml:space="preserve"> </w:t>
      </w:r>
    </w:p>
    <w:p w14:paraId="1CF12BBD" w14:textId="5466E223"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According to </w:t>
      </w:r>
      <w:r w:rsidR="00C67BA1"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(2011)</w:t>
      </w:r>
      <w:r w:rsidR="00C67BA1">
        <w:rPr>
          <w:rFonts w:ascii="Calibri" w:eastAsia="Calibri" w:hAnsi="Calibri" w:cs="Times New Roman"/>
          <w:lang w:val="en-GB" w:eastAsia="zh-CN"/>
        </w:rPr>
        <w:t>,</w:t>
      </w:r>
      <w:r w:rsidRPr="00E76739">
        <w:rPr>
          <w:rFonts w:ascii="Calibri" w:eastAsia="Calibri" w:hAnsi="Calibri" w:cs="Times New Roman"/>
          <w:lang w:val="en-GB" w:eastAsia="zh-CN"/>
        </w:rPr>
        <w:t xml:space="preserve"> the FAU forwards its </w:t>
      </w:r>
      <w:r w:rsidR="00C67BA1">
        <w:rPr>
          <w:rFonts w:ascii="Calibri" w:eastAsia="Calibri" w:hAnsi="Calibri" w:cs="Times New Roman"/>
          <w:lang w:val="en-GB" w:eastAsia="zh-CN"/>
        </w:rPr>
        <w:t>‘</w:t>
      </w:r>
      <w:r w:rsidRPr="00E76739">
        <w:rPr>
          <w:rFonts w:ascii="Calibri" w:eastAsia="Calibri" w:hAnsi="Calibri" w:cs="Times New Roman"/>
          <w:iCs/>
          <w:lang w:val="en-GB" w:eastAsia="zh-CN"/>
        </w:rPr>
        <w:t>criminal complaints</w:t>
      </w:r>
      <w:r w:rsidR="00C67BA1">
        <w:rPr>
          <w:rFonts w:ascii="Calibri" w:eastAsia="Calibri" w:hAnsi="Calibri" w:cs="Times New Roman"/>
          <w:lang w:val="en-GB" w:eastAsia="zh-CN"/>
        </w:rPr>
        <w:t>’</w:t>
      </w:r>
      <w:r w:rsidR="00C67BA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to the Anti-Money Laundering Division of the Unit for Combating Corruption and Financial Crime (UCCFC) of the </w:t>
      </w:r>
      <w:r w:rsidR="00C67BA1">
        <w:rPr>
          <w:rFonts w:ascii="Calibri" w:eastAsia="Calibri" w:hAnsi="Calibri" w:cs="Times New Roman"/>
          <w:lang w:val="en-GB" w:eastAsia="zh-CN"/>
        </w:rPr>
        <w:t>p</w:t>
      </w:r>
      <w:r w:rsidR="00C67BA1" w:rsidRPr="00E76739">
        <w:rPr>
          <w:rFonts w:ascii="Calibri" w:eastAsia="Calibri" w:hAnsi="Calibri" w:cs="Times New Roman"/>
          <w:lang w:val="en-GB" w:eastAsia="zh-CN"/>
        </w:rPr>
        <w:t>olice</w:t>
      </w:r>
      <w:r w:rsidR="00C67BA1">
        <w:rPr>
          <w:rFonts w:ascii="Calibri" w:eastAsia="Calibri" w:hAnsi="Calibri" w:cs="Times New Roman"/>
          <w:lang w:val="en-GB" w:eastAsia="zh-CN"/>
        </w:rPr>
        <w:t>,</w:t>
      </w:r>
      <w:r w:rsidR="00C67BA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which investigates the cases. Moreover, since 2008 the FAU has sent almost the same number of reports to the </w:t>
      </w:r>
      <w:r w:rsidR="00C67BA1">
        <w:rPr>
          <w:rFonts w:ascii="Calibri" w:eastAsia="Calibri" w:hAnsi="Calibri" w:cs="Times New Roman"/>
          <w:lang w:val="en-GB" w:eastAsia="zh-CN"/>
        </w:rPr>
        <w:t>t</w:t>
      </w:r>
      <w:r w:rsidR="00C67BA1" w:rsidRPr="00E76739">
        <w:rPr>
          <w:rFonts w:ascii="Calibri" w:eastAsia="Calibri" w:hAnsi="Calibri" w:cs="Times New Roman"/>
          <w:lang w:val="en-GB" w:eastAsia="zh-CN"/>
        </w:rPr>
        <w:t xml:space="preserve">ax </w:t>
      </w:r>
      <w:r w:rsidR="00C67BA1">
        <w:rPr>
          <w:rFonts w:ascii="Calibri" w:eastAsia="Calibri" w:hAnsi="Calibri" w:cs="Times New Roman"/>
          <w:lang w:val="en-GB" w:eastAsia="zh-CN"/>
        </w:rPr>
        <w:t>a</w:t>
      </w:r>
      <w:r w:rsidR="00C67BA1" w:rsidRPr="00E76739">
        <w:rPr>
          <w:rFonts w:ascii="Calibri" w:eastAsia="Calibri" w:hAnsi="Calibri" w:cs="Times New Roman"/>
          <w:lang w:val="en-GB" w:eastAsia="zh-CN"/>
        </w:rPr>
        <w:t xml:space="preserve">dministration </w:t>
      </w:r>
      <w:r w:rsidRPr="00E76739">
        <w:rPr>
          <w:rFonts w:ascii="Calibri" w:eastAsia="Calibri" w:hAnsi="Calibri" w:cs="Times New Roman"/>
          <w:lang w:val="en-GB" w:eastAsia="zh-CN"/>
        </w:rPr>
        <w:t>for further investigation</w:t>
      </w:r>
      <w:r w:rsidR="00C67BA1">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15"/>
      </w:r>
      <w:r w:rsidRPr="00E76739">
        <w:rPr>
          <w:rFonts w:ascii="Calibri" w:eastAsia="Calibri" w:hAnsi="Calibri" w:cs="Times New Roman"/>
          <w:lang w:val="en-GB" w:eastAsia="zh-CN"/>
        </w:rPr>
        <w:t xml:space="preserve"> The FAU information is used to initiate a case. The report from the FAU is used as a starting point for a police investigation, and perhaps later during the investigation of the prosecutor. It is therefore not used as documentary information.</w:t>
      </w:r>
    </w:p>
    <w:p w14:paraId="6B27B35F" w14:textId="383FC50A" w:rsidR="00E76739" w:rsidRPr="00E76739" w:rsidRDefault="00E76739" w:rsidP="00E76739">
      <w:pPr>
        <w:spacing w:after="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For every criminal complaint it filed, the FAU used to send a copy to the High Prosecutor’s office as well. This was meant to increase cooperation between the competent authorities and in particular to follow</w:t>
      </w:r>
      <w:r w:rsidR="00C67BA1">
        <w:rPr>
          <w:rFonts w:ascii="Calibri" w:eastAsia="Calibri" w:hAnsi="Calibri" w:cs="Times New Roman"/>
          <w:lang w:val="en-GB" w:eastAsia="zh-CN"/>
        </w:rPr>
        <w:t xml:space="preserve"> </w:t>
      </w:r>
      <w:r w:rsidRPr="00E76739">
        <w:rPr>
          <w:rFonts w:ascii="Calibri" w:eastAsia="Calibri" w:hAnsi="Calibri" w:cs="Times New Roman"/>
          <w:lang w:val="en-GB" w:eastAsia="zh-CN"/>
        </w:rPr>
        <w:t>up the police force</w:t>
      </w:r>
      <w:r w:rsidR="00C67BA1">
        <w:rPr>
          <w:rFonts w:ascii="Calibri" w:eastAsia="Calibri" w:hAnsi="Calibri" w:cs="Times New Roman"/>
          <w:lang w:val="en-GB" w:eastAsia="zh-CN"/>
        </w:rPr>
        <w:t>’</w:t>
      </w:r>
      <w:r w:rsidRPr="00E76739">
        <w:rPr>
          <w:rFonts w:ascii="Calibri" w:eastAsia="Calibri" w:hAnsi="Calibri" w:cs="Times New Roman"/>
          <w:lang w:val="en-GB" w:eastAsia="zh-CN"/>
        </w:rPr>
        <w:t>s activity</w:t>
      </w:r>
      <w:r w:rsidR="00C67BA1">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16"/>
      </w:r>
      <w:r w:rsidRPr="00E76739">
        <w:rPr>
          <w:rFonts w:ascii="Calibri" w:eastAsia="Calibri" w:hAnsi="Calibri" w:cs="Times New Roman"/>
          <w:lang w:val="en-GB" w:eastAsia="zh-CN"/>
        </w:rPr>
        <w:t xml:space="preserve"> According to a Czech representative, this system has been changed and in 2012 the FAU also informs a responsible officer of the prosecutor’s office if it considers it appropriate in </w:t>
      </w:r>
      <w:r w:rsidR="00C67BA1">
        <w:rPr>
          <w:rFonts w:ascii="Calibri" w:eastAsia="Calibri" w:hAnsi="Calibri" w:cs="Times New Roman"/>
          <w:lang w:val="en-GB" w:eastAsia="zh-CN"/>
        </w:rPr>
        <w:t>a</w:t>
      </w:r>
      <w:r w:rsidR="00C67BA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given case.</w:t>
      </w:r>
    </w:p>
    <w:p w14:paraId="6D1928D0" w14:textId="77777777" w:rsidR="00E76739" w:rsidRPr="00E76739" w:rsidRDefault="00E76739" w:rsidP="00E76739">
      <w:pPr>
        <w:spacing w:after="0" w:line="240" w:lineRule="auto"/>
        <w:jc w:val="both"/>
        <w:rPr>
          <w:rFonts w:ascii="Calibri" w:eastAsia="SimSun" w:hAnsi="Calibri" w:cs="Times New Roman"/>
          <w:b/>
          <w:lang w:val="en-GB" w:eastAsia="zh-CN"/>
        </w:rPr>
      </w:pPr>
    </w:p>
    <w:p w14:paraId="793FA394" w14:textId="0176D56C" w:rsidR="00E76739" w:rsidRPr="00E76739" w:rsidRDefault="00BA07A1" w:rsidP="00E76739">
      <w:pPr>
        <w:spacing w:after="0" w:line="240" w:lineRule="auto"/>
        <w:jc w:val="center"/>
        <w:rPr>
          <w:rFonts w:ascii="Calibri" w:eastAsia="SimSun" w:hAnsi="Calibri" w:cs="Times New Roman"/>
          <w:b/>
          <w:lang w:val="en-GB" w:eastAsia="zh-CN"/>
        </w:rPr>
      </w:pPr>
      <w:bookmarkStart w:id="18" w:name="_Toc350517096"/>
      <w:r>
        <w:rPr>
          <w:rFonts w:ascii="Calibri" w:eastAsia="SimSun" w:hAnsi="Calibri" w:cs="Times New Roman"/>
          <w:b/>
          <w:lang w:val="en-GB" w:eastAsia="zh-CN"/>
        </w:rPr>
        <w:t>Figure 8</w:t>
      </w:r>
      <w:r w:rsidR="00E76739" w:rsidRPr="00E76739">
        <w:rPr>
          <w:rFonts w:ascii="Calibri" w:eastAsia="SimSun" w:hAnsi="Calibri" w:cs="Times New Roman"/>
          <w:b/>
          <w:lang w:val="en-GB" w:eastAsia="zh-CN"/>
        </w:rPr>
        <w:t>.</w:t>
      </w:r>
      <w:r w:rsidR="000A5122">
        <w:rPr>
          <w:rFonts w:ascii="Calibri" w:eastAsia="SimSun" w:hAnsi="Calibri" w:cs="Times New Roman"/>
          <w:b/>
          <w:lang w:val="en-GB" w:eastAsia="zh-CN"/>
        </w:rPr>
        <w:t>9</w:t>
      </w:r>
      <w:r w:rsidR="00E76739" w:rsidRPr="00E76739">
        <w:rPr>
          <w:rFonts w:ascii="Calibri" w:eastAsia="SimSun" w:hAnsi="Calibri" w:cs="Times New Roman"/>
          <w:b/>
          <w:lang w:val="en-GB" w:eastAsia="zh-CN"/>
        </w:rPr>
        <w:t xml:space="preserve">: </w:t>
      </w:r>
      <w:r w:rsidR="00E76739" w:rsidRPr="00E76739">
        <w:rPr>
          <w:rFonts w:ascii="Calibri" w:eastAsia="SimSun" w:hAnsi="Calibri" w:cs="Times New Roman"/>
          <w:b/>
          <w:bCs/>
          <w:lang w:val="en-GB" w:eastAsia="zh-CN"/>
        </w:rPr>
        <w:t xml:space="preserve">AML/CTF Information flows </w:t>
      </w:r>
      <w:r w:rsidR="00E76739" w:rsidRPr="00E76739">
        <w:rPr>
          <w:rFonts w:ascii="Calibri" w:eastAsia="SimSun" w:hAnsi="Calibri" w:cs="Times New Roman"/>
          <w:b/>
          <w:lang w:val="en-GB" w:eastAsia="zh-CN"/>
        </w:rPr>
        <w:t>in the Czech Republic</w:t>
      </w:r>
      <w:bookmarkEnd w:id="18"/>
    </w:p>
    <w:p w14:paraId="197353E3" w14:textId="77777777" w:rsidR="00E76739" w:rsidRPr="00E76739" w:rsidRDefault="00E76739" w:rsidP="00E76739">
      <w:pPr>
        <w:spacing w:after="0" w:line="240" w:lineRule="auto"/>
        <w:jc w:val="both"/>
        <w:rPr>
          <w:rFonts w:ascii="Calibri" w:eastAsia="SimSun" w:hAnsi="Calibri" w:cs="Times New Roman"/>
          <w:b/>
          <w:lang w:val="en-GB" w:eastAsia="zh-CN"/>
        </w:rPr>
      </w:pPr>
    </w:p>
    <w:p w14:paraId="7865ED53"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794E7C64" w14:textId="77777777"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noProof/>
          <w:lang w:val="en-US" w:eastAsia="en-US"/>
        </w:rPr>
        <w:drawing>
          <wp:inline distT="0" distB="0" distL="0" distR="0" wp14:anchorId="0449621D" wp14:editId="0E45B753">
            <wp:extent cx="5863876" cy="3051544"/>
            <wp:effectExtent l="19050" t="0" r="3524" b="0"/>
            <wp:docPr id="27" name="Picture 83" descr="CzechRepublicInformationFlow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chRepublicInformationFlows (1).jpeg"/>
                    <pic:cNvPicPr/>
                  </pic:nvPicPr>
                  <pic:blipFill>
                    <a:blip r:embed="rId14" cstate="print"/>
                    <a:srcRect l="8800" t="9491" r="23695" b="45070"/>
                    <a:stretch>
                      <a:fillRect/>
                    </a:stretch>
                  </pic:blipFill>
                  <pic:spPr>
                    <a:xfrm>
                      <a:off x="0" y="0"/>
                      <a:ext cx="5872796" cy="3056186"/>
                    </a:xfrm>
                    <a:prstGeom prst="rect">
                      <a:avLst/>
                    </a:prstGeom>
                  </pic:spPr>
                </pic:pic>
              </a:graphicData>
            </a:graphic>
          </wp:inline>
        </w:drawing>
      </w:r>
    </w:p>
    <w:p w14:paraId="5306F041" w14:textId="094ABF9B" w:rsidR="00E76739" w:rsidRPr="00E76739" w:rsidRDefault="00E76739" w:rsidP="00E76739">
      <w:pPr>
        <w:spacing w:after="240" w:line="240" w:lineRule="auto"/>
        <w:jc w:val="both"/>
        <w:rPr>
          <w:rFonts w:ascii="Calibri" w:eastAsia="Calibri" w:hAnsi="Calibri" w:cs="Times New Roman"/>
          <w:i/>
          <w:sz w:val="20"/>
          <w:szCs w:val="20"/>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EA5474">
        <w:rPr>
          <w:rFonts w:ascii="Calibri" w:eastAsia="Calibri" w:hAnsi="Calibri" w:cs="Times New Roman"/>
          <w:i/>
          <w:sz w:val="20"/>
          <w:szCs w:val="20"/>
          <w:lang w:val="en-GB" w:eastAsia="zh-CN"/>
        </w:rPr>
        <w:t>both</w:t>
      </w:r>
      <w:r w:rsidR="00EA5474"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EA5474" w:rsidRPr="00E76739">
        <w:rPr>
          <w:rFonts w:ascii="Calibri" w:eastAsia="Calibri" w:hAnsi="Calibri" w:cs="Times New Roman"/>
          <w:i/>
          <w:sz w:val="20"/>
          <w:szCs w:val="20"/>
          <w:lang w:val="en-GB" w:eastAsia="zh-CN"/>
        </w:rPr>
        <w:t>speciali</w:t>
      </w:r>
      <w:r w:rsidR="00EA5474">
        <w:rPr>
          <w:rFonts w:ascii="Calibri" w:eastAsia="Calibri" w:hAnsi="Calibri" w:cs="Times New Roman"/>
          <w:i/>
          <w:sz w:val="20"/>
          <w:szCs w:val="20"/>
          <w:lang w:val="en-GB" w:eastAsia="zh-CN"/>
        </w:rPr>
        <w:t>z</w:t>
      </w:r>
      <w:r w:rsidR="00EA5474"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in dealing with ML/TF cases.</w:t>
      </w:r>
    </w:p>
    <w:p w14:paraId="4C3BC50E" w14:textId="450D0BCB"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According to </w:t>
      </w:r>
      <w:r w:rsidR="009F3B79"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(2011</w:t>
      </w:r>
      <w:r w:rsidR="006E6DCE">
        <w:rPr>
          <w:rFonts w:ascii="Calibri" w:eastAsia="Calibri" w:hAnsi="Calibri" w:cs="Times New Roman"/>
          <w:lang w:val="en-GB" w:eastAsia="zh-CN"/>
        </w:rPr>
        <w:t>c</w:t>
      </w:r>
      <w:r w:rsidRPr="00E76739">
        <w:rPr>
          <w:rFonts w:ascii="Calibri" w:eastAsia="Calibri" w:hAnsi="Calibri" w:cs="Times New Roman"/>
          <w:lang w:val="en-GB" w:eastAsia="zh-CN"/>
        </w:rPr>
        <w:t xml:space="preserve">), the law enforcement authority designated to receive the criminal complaint from the FAU is the AML </w:t>
      </w:r>
      <w:r w:rsidR="009F3B79">
        <w:rPr>
          <w:rFonts w:ascii="Calibri" w:eastAsia="Calibri" w:hAnsi="Calibri" w:cs="Times New Roman"/>
          <w:lang w:val="en-GB" w:eastAsia="zh-CN"/>
        </w:rPr>
        <w:t>d</w:t>
      </w:r>
      <w:r w:rsidRPr="00E76739">
        <w:rPr>
          <w:rFonts w:ascii="Calibri" w:eastAsia="Calibri" w:hAnsi="Calibri" w:cs="Times New Roman"/>
          <w:lang w:val="en-GB" w:eastAsia="zh-CN"/>
        </w:rPr>
        <w:t xml:space="preserve">ivision of the </w:t>
      </w:r>
      <w:r w:rsidR="009F3B79" w:rsidRPr="009F3B79">
        <w:rPr>
          <w:rFonts w:ascii="Calibri" w:eastAsia="Calibri" w:hAnsi="Calibri" w:cs="Times New Roman"/>
          <w:lang w:val="en-GB" w:eastAsia="zh-CN"/>
        </w:rPr>
        <w:t xml:space="preserve"> </w:t>
      </w:r>
      <w:r w:rsidR="009F3B79">
        <w:rPr>
          <w:rFonts w:ascii="Calibri" w:eastAsia="Calibri" w:hAnsi="Calibri" w:cs="Times New Roman"/>
          <w:lang w:val="en-GB" w:eastAsia="zh-CN"/>
        </w:rPr>
        <w:t>UCCFC</w:t>
      </w:r>
      <w:r w:rsidRPr="00E76739">
        <w:rPr>
          <w:rFonts w:ascii="Calibri" w:eastAsia="Calibri" w:hAnsi="Calibri" w:cs="Times New Roman"/>
          <w:lang w:val="en-GB" w:eastAsia="zh-CN"/>
        </w:rPr>
        <w:t xml:space="preserve">. The FAU also cooperates with the </w:t>
      </w:r>
      <w:r w:rsidR="009F3B79" w:rsidRPr="00E76739">
        <w:rPr>
          <w:rFonts w:ascii="Calibri" w:eastAsia="Calibri" w:hAnsi="Calibri" w:cs="Times New Roman"/>
          <w:lang w:val="en-GB" w:eastAsia="zh-CN"/>
        </w:rPr>
        <w:t>Organi</w:t>
      </w:r>
      <w:r w:rsidR="009F3B79">
        <w:rPr>
          <w:rFonts w:ascii="Calibri" w:eastAsia="Calibri" w:hAnsi="Calibri" w:cs="Times New Roman"/>
          <w:lang w:val="en-GB" w:eastAsia="zh-CN"/>
        </w:rPr>
        <w:t>z</w:t>
      </w:r>
      <w:r w:rsidR="009F3B79"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Crime Unit of the Czech </w:t>
      </w:r>
      <w:r w:rsidR="009F3B79">
        <w:rPr>
          <w:rFonts w:ascii="Calibri" w:eastAsia="Calibri" w:hAnsi="Calibri" w:cs="Times New Roman"/>
          <w:lang w:val="en-GB" w:eastAsia="zh-CN"/>
        </w:rPr>
        <w:t>p</w:t>
      </w:r>
      <w:r w:rsidR="009F3B79" w:rsidRPr="00E76739">
        <w:rPr>
          <w:rFonts w:ascii="Calibri" w:eastAsia="Calibri" w:hAnsi="Calibri" w:cs="Times New Roman"/>
          <w:lang w:val="en-GB" w:eastAsia="zh-CN"/>
        </w:rPr>
        <w:t>olice</w:t>
      </w:r>
      <w:r w:rsidRPr="00E76739">
        <w:rPr>
          <w:rFonts w:ascii="Calibri" w:eastAsia="Calibri" w:hAnsi="Calibri" w:cs="Times New Roman"/>
          <w:lang w:val="en-GB" w:eastAsia="zh-CN"/>
        </w:rPr>
        <w:t xml:space="preserve">, in particular with the </w:t>
      </w:r>
      <w:r w:rsidR="009F3B79">
        <w:rPr>
          <w:rFonts w:ascii="Calibri" w:eastAsia="Calibri" w:hAnsi="Calibri" w:cs="Times New Roman"/>
          <w:lang w:val="en-GB" w:eastAsia="zh-CN"/>
        </w:rPr>
        <w:t>specialist t</w:t>
      </w:r>
      <w:r w:rsidRPr="00E76739">
        <w:rPr>
          <w:rFonts w:ascii="Calibri" w:eastAsia="Calibri" w:hAnsi="Calibri" w:cs="Times New Roman"/>
          <w:lang w:val="en-GB" w:eastAsia="zh-CN"/>
        </w:rPr>
        <w:t xml:space="preserve">errorism and </w:t>
      </w:r>
      <w:r w:rsidR="009F3B79">
        <w:rPr>
          <w:rFonts w:ascii="Calibri" w:eastAsia="Calibri" w:hAnsi="Calibri" w:cs="Times New Roman"/>
          <w:lang w:val="en-GB" w:eastAsia="zh-CN"/>
        </w:rPr>
        <w:t>e</w:t>
      </w:r>
      <w:r w:rsidRPr="00E76739">
        <w:rPr>
          <w:rFonts w:ascii="Calibri" w:eastAsia="Calibri" w:hAnsi="Calibri" w:cs="Times New Roman"/>
          <w:lang w:val="en-GB" w:eastAsia="zh-CN"/>
        </w:rPr>
        <w:t>xtremism</w:t>
      </w:r>
      <w:r w:rsidR="009F3B79" w:rsidRPr="00E76739">
        <w:rPr>
          <w:rFonts w:ascii="Calibri" w:eastAsia="Calibri" w:hAnsi="Calibri" w:cs="Times New Roman"/>
          <w:lang w:val="en-GB" w:eastAsia="zh-CN"/>
        </w:rPr>
        <w:t xml:space="preserve"> </w:t>
      </w:r>
      <w:r w:rsidR="009F3B79">
        <w:rPr>
          <w:rFonts w:ascii="Calibri" w:eastAsia="Calibri" w:hAnsi="Calibri" w:cs="Times New Roman"/>
          <w:lang w:val="en-GB" w:eastAsia="zh-CN"/>
        </w:rPr>
        <w:t>u</w:t>
      </w:r>
      <w:r w:rsidRPr="00E76739">
        <w:rPr>
          <w:rFonts w:ascii="Calibri" w:eastAsia="Calibri" w:hAnsi="Calibri" w:cs="Times New Roman"/>
          <w:lang w:val="en-GB" w:eastAsia="zh-CN"/>
        </w:rPr>
        <w:t xml:space="preserve">nit to </w:t>
      </w:r>
      <w:r w:rsidR="009F3B79" w:rsidRPr="00E76739">
        <w:rPr>
          <w:rFonts w:ascii="Calibri" w:eastAsia="Calibri" w:hAnsi="Calibri" w:cs="Times New Roman"/>
          <w:lang w:val="en-GB" w:eastAsia="zh-CN"/>
        </w:rPr>
        <w:t>wh</w:t>
      </w:r>
      <w:r w:rsidR="009F3B79">
        <w:rPr>
          <w:rFonts w:ascii="Calibri" w:eastAsia="Calibri" w:hAnsi="Calibri" w:cs="Times New Roman"/>
          <w:lang w:val="en-GB" w:eastAsia="zh-CN"/>
        </w:rPr>
        <w:t>ich</w:t>
      </w:r>
      <w:r w:rsidR="009F3B79"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it </w:t>
      </w:r>
      <w:r w:rsidRPr="00E76739">
        <w:rPr>
          <w:rFonts w:ascii="Calibri" w:eastAsia="Calibri" w:hAnsi="Calibri" w:cs="Times New Roman"/>
          <w:lang w:val="en-GB" w:eastAsia="zh-CN"/>
        </w:rPr>
        <w:lastRenderedPageBreak/>
        <w:t xml:space="preserve">forwards reports on terrorism finance. The </w:t>
      </w:r>
      <w:r w:rsidR="009F3B79">
        <w:rPr>
          <w:rFonts w:ascii="Calibri" w:eastAsia="Calibri" w:hAnsi="Calibri" w:cs="Times New Roman"/>
          <w:lang w:val="en-GB" w:eastAsia="zh-CN"/>
        </w:rPr>
        <w:t>UCCFC</w:t>
      </w:r>
      <w:r w:rsidRPr="00E76739">
        <w:rPr>
          <w:rFonts w:ascii="Calibri" w:eastAsia="Calibri" w:hAnsi="Calibri" w:cs="Times New Roman"/>
          <w:lang w:val="en-GB" w:eastAsia="zh-CN"/>
        </w:rPr>
        <w:t xml:space="preserve"> is responsible for investigations </w:t>
      </w:r>
      <w:r w:rsidR="009F3B79">
        <w:rPr>
          <w:rFonts w:ascii="Calibri" w:eastAsia="Calibri" w:hAnsi="Calibri" w:cs="Times New Roman"/>
          <w:lang w:val="en-GB" w:eastAsia="zh-CN"/>
        </w:rPr>
        <w:t>into</w:t>
      </w:r>
      <w:r w:rsidR="009F3B79"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ML, TF and other related crimes. The unit of 12 police officers is supervised by the High Public Prosecutor’s office. Within the </w:t>
      </w:r>
      <w:r w:rsidR="009F3B79">
        <w:rPr>
          <w:rFonts w:ascii="Calibri" w:eastAsia="Calibri" w:hAnsi="Calibri" w:cs="Times New Roman"/>
          <w:lang w:val="en-GB" w:eastAsia="zh-CN"/>
        </w:rPr>
        <w:t>UCCFC</w:t>
      </w:r>
      <w:r w:rsidRPr="00E76739">
        <w:rPr>
          <w:rFonts w:ascii="Calibri" w:eastAsia="Calibri" w:hAnsi="Calibri" w:cs="Times New Roman"/>
          <w:lang w:val="en-GB" w:eastAsia="zh-CN"/>
        </w:rPr>
        <w:t xml:space="preserve">, there are a few </w:t>
      </w:r>
      <w:r w:rsidR="009F3B79" w:rsidRPr="00E76739">
        <w:rPr>
          <w:rFonts w:ascii="Calibri" w:eastAsia="Calibri" w:hAnsi="Calibri" w:cs="Times New Roman"/>
          <w:lang w:val="en-GB" w:eastAsia="zh-CN"/>
        </w:rPr>
        <w:t>speciali</w:t>
      </w:r>
      <w:r w:rsidR="009F3B79">
        <w:rPr>
          <w:rFonts w:ascii="Calibri" w:eastAsia="Calibri" w:hAnsi="Calibri" w:cs="Times New Roman"/>
          <w:lang w:val="en-GB" w:eastAsia="zh-CN"/>
        </w:rPr>
        <w:t>z</w:t>
      </w:r>
      <w:r w:rsidR="009F3B79"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units – namely the Anti-Drug Unit and the Organi</w:t>
      </w:r>
      <w:r w:rsidR="009F3B79">
        <w:rPr>
          <w:rFonts w:ascii="Calibri" w:eastAsia="Calibri" w:hAnsi="Calibri" w:cs="Times New Roman"/>
          <w:lang w:val="en-GB" w:eastAsia="zh-CN"/>
        </w:rPr>
        <w:t>z</w:t>
      </w:r>
      <w:r w:rsidRPr="00E76739">
        <w:rPr>
          <w:rFonts w:ascii="Calibri" w:eastAsia="Calibri" w:hAnsi="Calibri" w:cs="Times New Roman"/>
          <w:lang w:val="en-GB" w:eastAsia="zh-CN"/>
        </w:rPr>
        <w:t xml:space="preserve">ed Crime Unit – </w:t>
      </w:r>
      <w:r w:rsidR="009F3B79">
        <w:rPr>
          <w:rFonts w:ascii="Calibri" w:eastAsia="Calibri" w:hAnsi="Calibri" w:cs="Times New Roman"/>
          <w:lang w:val="en-GB" w:eastAsia="zh-CN"/>
        </w:rPr>
        <w:t>which</w:t>
      </w:r>
      <w:r w:rsidR="009F3B79"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investigate the most complex ML cases. The less complex ML cases are investigated by regional specialists</w:t>
      </w:r>
      <w:r w:rsidR="009F3B79">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17"/>
      </w:r>
      <w:r w:rsidRPr="00E76739">
        <w:rPr>
          <w:rFonts w:ascii="Calibri" w:eastAsia="Calibri" w:hAnsi="Calibri" w:cs="Times New Roman"/>
          <w:lang w:val="en-GB" w:eastAsia="zh-CN"/>
        </w:rPr>
        <w:t>The Czech representative argued that the police forces handling the ML and TF investigations are professionals</w:t>
      </w:r>
      <w:r w:rsidR="009F3B79">
        <w:rPr>
          <w:rFonts w:ascii="Calibri" w:eastAsia="Calibri" w:hAnsi="Calibri" w:cs="Times New Roman"/>
          <w:lang w:val="en-GB" w:eastAsia="zh-CN"/>
        </w:rPr>
        <w:t>,</w:t>
      </w:r>
      <w:r w:rsidRPr="00E76739">
        <w:rPr>
          <w:rFonts w:ascii="Calibri" w:eastAsia="Calibri" w:hAnsi="Calibri" w:cs="Times New Roman"/>
          <w:lang w:val="en-GB" w:eastAsia="zh-CN"/>
        </w:rPr>
        <w:t xml:space="preserve"> but that they are too few to handle the work volume.</w:t>
      </w:r>
    </w:p>
    <w:p w14:paraId="2C0382F4" w14:textId="01BF15FB"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bCs/>
          <w:lang w:val="en-GB" w:eastAsia="zh-CN"/>
        </w:rPr>
        <w:t xml:space="preserve">According to the Czech representative, the prosecution service has a </w:t>
      </w:r>
      <w:r w:rsidR="009F3B79" w:rsidRPr="00E76739">
        <w:rPr>
          <w:rFonts w:ascii="Calibri" w:eastAsia="Calibri" w:hAnsi="Calibri" w:cs="Times New Roman"/>
          <w:bCs/>
          <w:lang w:val="en-GB" w:eastAsia="zh-CN"/>
        </w:rPr>
        <w:t>centrali</w:t>
      </w:r>
      <w:r w:rsidR="009F3B79">
        <w:rPr>
          <w:rFonts w:ascii="Calibri" w:eastAsia="Calibri" w:hAnsi="Calibri" w:cs="Times New Roman"/>
          <w:bCs/>
          <w:lang w:val="en-GB" w:eastAsia="zh-CN"/>
        </w:rPr>
        <w:t>z</w:t>
      </w:r>
      <w:r w:rsidR="009F3B79" w:rsidRPr="00E76739">
        <w:rPr>
          <w:rFonts w:ascii="Calibri" w:eastAsia="Calibri" w:hAnsi="Calibri" w:cs="Times New Roman"/>
          <w:bCs/>
          <w:lang w:val="en-GB" w:eastAsia="zh-CN"/>
        </w:rPr>
        <w:t xml:space="preserve">ed </w:t>
      </w:r>
      <w:r w:rsidRPr="00E76739">
        <w:rPr>
          <w:rFonts w:ascii="Calibri" w:eastAsia="Calibri" w:hAnsi="Calibri" w:cs="Times New Roman"/>
          <w:bCs/>
          <w:lang w:val="en-GB" w:eastAsia="zh-CN"/>
        </w:rPr>
        <w:t xml:space="preserve">structure. There are </w:t>
      </w:r>
      <w:r w:rsidR="009F3B79">
        <w:rPr>
          <w:rFonts w:ascii="Calibri" w:eastAsia="Calibri" w:hAnsi="Calibri" w:cs="Times New Roman"/>
          <w:bCs/>
          <w:lang w:val="en-GB" w:eastAsia="zh-CN"/>
        </w:rPr>
        <w:t>four</w:t>
      </w:r>
      <w:r w:rsidR="009F3B79"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 xml:space="preserve">levels of prosecution – district, regional and national level and there are also </w:t>
      </w:r>
      <w:r w:rsidR="009F3B79" w:rsidRPr="00E76739">
        <w:rPr>
          <w:rFonts w:ascii="Calibri" w:eastAsia="Calibri" w:hAnsi="Calibri" w:cs="Times New Roman"/>
          <w:bCs/>
          <w:lang w:val="en-GB" w:eastAsia="zh-CN"/>
        </w:rPr>
        <w:t>speciali</w:t>
      </w:r>
      <w:r w:rsidR="009F3B79">
        <w:rPr>
          <w:rFonts w:ascii="Calibri" w:eastAsia="Calibri" w:hAnsi="Calibri" w:cs="Times New Roman"/>
          <w:bCs/>
          <w:lang w:val="en-GB" w:eastAsia="zh-CN"/>
        </w:rPr>
        <w:t>z</w:t>
      </w:r>
      <w:r w:rsidR="009F3B79" w:rsidRPr="00E76739">
        <w:rPr>
          <w:rFonts w:ascii="Calibri" w:eastAsia="Calibri" w:hAnsi="Calibri" w:cs="Times New Roman"/>
          <w:bCs/>
          <w:lang w:val="en-GB" w:eastAsia="zh-CN"/>
        </w:rPr>
        <w:t xml:space="preserve">ed </w:t>
      </w:r>
      <w:r w:rsidRPr="00E76739">
        <w:rPr>
          <w:rFonts w:ascii="Calibri" w:eastAsia="Calibri" w:hAnsi="Calibri" w:cs="Times New Roman"/>
          <w:bCs/>
          <w:lang w:val="en-GB" w:eastAsia="zh-CN"/>
        </w:rPr>
        <w:t xml:space="preserve">prosecutors who only deal with serious crimes – crimes that are of special interest in the EU context (i.e. serious corruption crimes, serious financial crimes). The most serious ML cases and the TF cases are prosecuted by these </w:t>
      </w:r>
      <w:r w:rsidR="009F3B79" w:rsidRPr="00E76739">
        <w:rPr>
          <w:rFonts w:ascii="Calibri" w:eastAsia="Calibri" w:hAnsi="Calibri" w:cs="Times New Roman"/>
          <w:bCs/>
          <w:lang w:val="en-GB" w:eastAsia="zh-CN"/>
        </w:rPr>
        <w:t>speciali</w:t>
      </w:r>
      <w:r w:rsidR="009F3B79">
        <w:rPr>
          <w:rFonts w:ascii="Calibri" w:eastAsia="Calibri" w:hAnsi="Calibri" w:cs="Times New Roman"/>
          <w:bCs/>
          <w:lang w:val="en-GB" w:eastAsia="zh-CN"/>
        </w:rPr>
        <w:t>z</w:t>
      </w:r>
      <w:r w:rsidR="009F3B79" w:rsidRPr="00E76739">
        <w:rPr>
          <w:rFonts w:ascii="Calibri" w:eastAsia="Calibri" w:hAnsi="Calibri" w:cs="Times New Roman"/>
          <w:bCs/>
          <w:lang w:val="en-GB" w:eastAsia="zh-CN"/>
        </w:rPr>
        <w:t xml:space="preserve">ed </w:t>
      </w:r>
      <w:r w:rsidRPr="00E76739">
        <w:rPr>
          <w:rFonts w:ascii="Calibri" w:eastAsia="Calibri" w:hAnsi="Calibri" w:cs="Times New Roman"/>
          <w:bCs/>
          <w:lang w:val="en-GB" w:eastAsia="zh-CN"/>
        </w:rPr>
        <w:t xml:space="preserve">prosecutors, whereas the less serious ML cases </w:t>
      </w:r>
      <w:r w:rsidR="009F3B79">
        <w:rPr>
          <w:rFonts w:ascii="Calibri" w:eastAsia="Calibri" w:hAnsi="Calibri" w:cs="Times New Roman"/>
          <w:bCs/>
          <w:lang w:val="en-GB" w:eastAsia="zh-CN"/>
        </w:rPr>
        <w:t>may</w:t>
      </w:r>
      <w:r w:rsidR="009F3B79"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also be prosecuted by lower</w:t>
      </w:r>
      <w:r w:rsidR="009F3B79">
        <w:rPr>
          <w:rFonts w:ascii="Calibri" w:eastAsia="Calibri" w:hAnsi="Calibri" w:cs="Times New Roman"/>
          <w:bCs/>
          <w:lang w:val="en-GB" w:eastAsia="zh-CN"/>
        </w:rPr>
        <w:t>-</w:t>
      </w:r>
      <w:r w:rsidRPr="00E76739">
        <w:rPr>
          <w:rFonts w:ascii="Calibri" w:eastAsia="Calibri" w:hAnsi="Calibri" w:cs="Times New Roman"/>
          <w:bCs/>
          <w:lang w:val="en-GB" w:eastAsia="zh-CN"/>
        </w:rPr>
        <w:t>level prosecutors, even by district prosecutors. The system is constructed s</w:t>
      </w:r>
      <w:r w:rsidR="009F3B79">
        <w:rPr>
          <w:rFonts w:ascii="Calibri" w:eastAsia="Calibri" w:hAnsi="Calibri" w:cs="Times New Roman"/>
          <w:bCs/>
          <w:lang w:val="en-GB" w:eastAsia="zh-CN"/>
        </w:rPr>
        <w:t>o</w:t>
      </w:r>
      <w:r w:rsidRPr="00E76739">
        <w:rPr>
          <w:rFonts w:ascii="Calibri" w:eastAsia="Calibri" w:hAnsi="Calibri" w:cs="Times New Roman"/>
          <w:bCs/>
          <w:lang w:val="en-GB" w:eastAsia="zh-CN"/>
        </w:rPr>
        <w:t xml:space="preserve"> </w:t>
      </w:r>
      <w:r w:rsidR="009F3B79">
        <w:rPr>
          <w:rFonts w:ascii="Calibri" w:eastAsia="Calibri" w:hAnsi="Calibri" w:cs="Times New Roman"/>
          <w:bCs/>
          <w:lang w:val="en-GB" w:eastAsia="zh-CN"/>
        </w:rPr>
        <w:t>as</w:t>
      </w:r>
      <w:r w:rsidR="009F3B79"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 xml:space="preserve">not to overload the </w:t>
      </w:r>
      <w:r w:rsidR="009F3B79" w:rsidRPr="00E76739">
        <w:rPr>
          <w:rFonts w:ascii="Calibri" w:eastAsia="Calibri" w:hAnsi="Calibri" w:cs="Times New Roman"/>
          <w:bCs/>
          <w:lang w:val="en-GB" w:eastAsia="zh-CN"/>
        </w:rPr>
        <w:t>speciali</w:t>
      </w:r>
      <w:r w:rsidR="009F3B79">
        <w:rPr>
          <w:rFonts w:ascii="Calibri" w:eastAsia="Calibri" w:hAnsi="Calibri" w:cs="Times New Roman"/>
          <w:bCs/>
          <w:lang w:val="en-GB" w:eastAsia="zh-CN"/>
        </w:rPr>
        <w:t>z</w:t>
      </w:r>
      <w:r w:rsidR="009F3B79" w:rsidRPr="00E76739">
        <w:rPr>
          <w:rFonts w:ascii="Calibri" w:eastAsia="Calibri" w:hAnsi="Calibri" w:cs="Times New Roman"/>
          <w:bCs/>
          <w:lang w:val="en-GB" w:eastAsia="zh-CN"/>
        </w:rPr>
        <w:t xml:space="preserve">ed </w:t>
      </w:r>
      <w:r w:rsidRPr="00E76739">
        <w:rPr>
          <w:rFonts w:ascii="Calibri" w:eastAsia="Calibri" w:hAnsi="Calibri" w:cs="Times New Roman"/>
          <w:bCs/>
          <w:lang w:val="en-GB" w:eastAsia="zh-CN"/>
        </w:rPr>
        <w:t>prosecutors and to allow them to concentrate their resources on the more complex cases.</w:t>
      </w:r>
    </w:p>
    <w:p w14:paraId="1DC38E74" w14:textId="5BA89A39"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cooperation</w:t>
      </w:r>
      <w:r w:rsidR="009F3B7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between the FAU and the AML </w:t>
      </w:r>
      <w:r w:rsidR="009F3B79">
        <w:rPr>
          <w:rFonts w:ascii="Calibri" w:eastAsia="Calibri" w:hAnsi="Calibri" w:cs="Times New Roman"/>
          <w:lang w:val="en-GB" w:eastAsia="zh-CN"/>
        </w:rPr>
        <w:t>d</w:t>
      </w:r>
      <w:r w:rsidR="009F3B79" w:rsidRPr="00E76739">
        <w:rPr>
          <w:rFonts w:ascii="Calibri" w:eastAsia="Calibri" w:hAnsi="Calibri" w:cs="Times New Roman"/>
          <w:lang w:val="en-GB" w:eastAsia="zh-CN"/>
        </w:rPr>
        <w:t xml:space="preserve">ivision </w:t>
      </w:r>
      <w:r w:rsidRPr="00E76739">
        <w:rPr>
          <w:rFonts w:ascii="Calibri" w:eastAsia="Calibri" w:hAnsi="Calibri" w:cs="Times New Roman"/>
          <w:lang w:val="en-GB" w:eastAsia="zh-CN"/>
        </w:rPr>
        <w:t xml:space="preserve">of the Czech </w:t>
      </w:r>
      <w:r w:rsidR="009F3B79">
        <w:rPr>
          <w:rFonts w:ascii="Calibri" w:eastAsia="Calibri" w:hAnsi="Calibri" w:cs="Times New Roman"/>
          <w:lang w:val="en-GB" w:eastAsia="zh-CN"/>
        </w:rPr>
        <w:t>p</w:t>
      </w:r>
      <w:r w:rsidR="009F3B79"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is regulated by a protocol</w:t>
      </w:r>
      <w:r w:rsidR="009F3B7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signed by the Ministry of Finance and the Ministry of Interior. On the basis of this protocol, the FAU and the AML </w:t>
      </w:r>
      <w:r w:rsidR="009F3B79">
        <w:rPr>
          <w:rFonts w:ascii="Calibri" w:eastAsia="Calibri" w:hAnsi="Calibri" w:cs="Times New Roman"/>
          <w:lang w:val="en-GB" w:eastAsia="zh-CN"/>
        </w:rPr>
        <w:t>p</w:t>
      </w:r>
      <w:r w:rsidR="009F3B79"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can exchange intelligence and consult on individual cases. Furthermore, the FAU can obtain police intelligence that goes beyond criminal records – i.e. indictments, persons that have been or are under investigation</w:t>
      </w:r>
      <w:r w:rsidR="009F3B79">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18"/>
      </w:r>
      <w:r w:rsidRPr="00E76739">
        <w:rPr>
          <w:rFonts w:ascii="Calibri" w:eastAsia="Calibri" w:hAnsi="Calibri" w:cs="Times New Roman"/>
          <w:lang w:val="en-GB" w:eastAsia="zh-CN"/>
        </w:rPr>
        <w:t xml:space="preserve"> </w:t>
      </w:r>
    </w:p>
    <w:p w14:paraId="723CBA60" w14:textId="42545048"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During the </w:t>
      </w:r>
      <w:r w:rsidR="009F3B79"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visit in 2011, the current Director of the FAU came from the law enforcement side and was trying to enhance cooperation between the FAU and law enforcement. The quality of the reports of the FIU was reported by the Czech representatives. </w:t>
      </w:r>
      <w:r w:rsidR="009F3B79"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(2011) also mentioned that the FAU has quite a proactive approach and provides the LEAs with more than a financial analysis</w:t>
      </w:r>
      <w:r w:rsidR="009F3B79">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19"/>
      </w:r>
      <w:r w:rsidRPr="00E76739">
        <w:rPr>
          <w:rFonts w:ascii="Calibri" w:eastAsia="Calibri" w:hAnsi="Calibri" w:cs="Times New Roman"/>
          <w:lang w:val="en-GB" w:eastAsia="zh-CN"/>
        </w:rPr>
        <w:t xml:space="preserve"> </w:t>
      </w:r>
      <w:r w:rsidR="009F3B79"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(2011) also points to the fact that the FAU often asks for assistance from the </w:t>
      </w:r>
      <w:r w:rsidR="009F3B79">
        <w:rPr>
          <w:rFonts w:ascii="Calibri" w:eastAsia="Calibri" w:hAnsi="Calibri" w:cs="Times New Roman"/>
          <w:lang w:val="en-GB" w:eastAsia="zh-CN"/>
        </w:rPr>
        <w:t>p</w:t>
      </w:r>
      <w:r w:rsidR="009F3B79"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and for additional information from the reporting entities and asks for little assistance from its foreign counterparts</w:t>
      </w:r>
      <w:r w:rsidR="009F3B79">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20"/>
      </w:r>
    </w:p>
    <w:p w14:paraId="1EC6E498" w14:textId="3798AAA1"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Calibri"/>
          <w:lang w:val="en-GB" w:eastAsia="zh-CN"/>
        </w:rPr>
        <w:t xml:space="preserve">According to the Czech representative, the FAU gets feedback from the police alone. </w:t>
      </w:r>
      <w:r w:rsidR="009F3B79" w:rsidRPr="00E76739">
        <w:rPr>
          <w:rFonts w:ascii="Calibri" w:eastAsia="Calibri" w:hAnsi="Calibri" w:cs="Calibri"/>
          <w:lang w:val="en-GB" w:eastAsia="zh-CN"/>
        </w:rPr>
        <w:t>MONEYVAL</w:t>
      </w:r>
      <w:r w:rsidRPr="00E76739">
        <w:rPr>
          <w:rFonts w:ascii="Calibri" w:eastAsia="Calibri" w:hAnsi="Calibri" w:cs="Calibri"/>
          <w:lang w:val="en-GB" w:eastAsia="zh-CN"/>
        </w:rPr>
        <w:t xml:space="preserve"> (2011) reports that the feedback the police give to the FAU is generic and does not help the FAU in performing its tasks.</w:t>
      </w:r>
      <w:r w:rsidRPr="00E76739">
        <w:rPr>
          <w:rFonts w:ascii="Calibri" w:eastAsia="Calibri" w:hAnsi="Calibri" w:cs="Times New Roman"/>
          <w:vertAlign w:val="superscript"/>
          <w:lang w:val="en-GB" w:eastAsia="zh-CN"/>
        </w:rPr>
        <w:footnoteReference w:id="21"/>
      </w:r>
      <w:r w:rsidRPr="00E76739">
        <w:rPr>
          <w:rFonts w:ascii="Calibri" w:eastAsia="Calibri" w:hAnsi="Calibri" w:cs="Times New Roman"/>
          <w:lang w:val="en-GB" w:eastAsia="zh-CN"/>
        </w:rPr>
        <w:t xml:space="preserve"> Moreover, </w:t>
      </w:r>
      <w:r w:rsidR="009F3B79"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(2011) argued that the ML reports were merged with the predicate offence investigation at a later stage, and pursued on the latter grounds. This made keeping accurate statistics difficult as well as de-motivating FAU staff</w:t>
      </w:r>
      <w:r w:rsidR="009F3B79">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22"/>
      </w:r>
      <w:r w:rsidRPr="00E76739">
        <w:rPr>
          <w:rFonts w:ascii="Calibri" w:eastAsia="Calibri" w:hAnsi="Calibri" w:cs="Times New Roman"/>
          <w:lang w:val="en-GB" w:eastAsia="zh-CN"/>
        </w:rPr>
        <w:t xml:space="preserve"> </w:t>
      </w:r>
    </w:p>
    <w:p w14:paraId="4F3C6E77" w14:textId="77777777" w:rsidR="00E76739" w:rsidRPr="00E76739" w:rsidRDefault="00E76739" w:rsidP="00E76739">
      <w:pPr>
        <w:spacing w:after="240" w:line="240" w:lineRule="auto"/>
        <w:jc w:val="both"/>
        <w:rPr>
          <w:rFonts w:ascii="Calibri" w:eastAsia="SimSun" w:hAnsi="Calibri" w:cs="Calibri"/>
          <w:bCs/>
          <w:lang w:val="en-GB" w:eastAsia="zh-CN"/>
        </w:rPr>
      </w:pPr>
      <w:bookmarkStart w:id="19" w:name="_Toc341109082"/>
      <w:bookmarkStart w:id="20" w:name="_Toc341266522"/>
      <w:bookmarkStart w:id="21" w:name="_Toc341269277"/>
      <w:r w:rsidRPr="00E76739">
        <w:rPr>
          <w:rFonts w:ascii="Calibri" w:eastAsia="SimSun" w:hAnsi="Calibri" w:cs="Calibri"/>
          <w:b/>
          <w:bCs/>
          <w:lang w:val="en-GB" w:eastAsia="zh-CN"/>
        </w:rPr>
        <w:br/>
      </w:r>
      <w:r w:rsidR="00BA07A1">
        <w:rPr>
          <w:rFonts w:ascii="Calibri" w:eastAsia="SimSun" w:hAnsi="Calibri" w:cs="Calibri"/>
          <w:b/>
          <w:bCs/>
          <w:lang w:val="en-GB" w:eastAsia="zh-CN"/>
        </w:rPr>
        <w:t>8</w:t>
      </w:r>
      <w:r w:rsidRPr="00E76739">
        <w:rPr>
          <w:rFonts w:ascii="Calibri" w:eastAsia="SimSun" w:hAnsi="Calibri" w:cs="Calibri"/>
          <w:b/>
          <w:bCs/>
          <w:lang w:val="en-GB" w:eastAsia="zh-CN"/>
        </w:rPr>
        <w:t>.5.6</w:t>
      </w:r>
      <w:r w:rsidRPr="00E76739">
        <w:rPr>
          <w:rFonts w:ascii="Calibri" w:eastAsia="SimSun" w:hAnsi="Calibri" w:cs="Calibri"/>
          <w:b/>
          <w:bCs/>
          <w:lang w:val="en-GB" w:eastAsia="zh-CN"/>
        </w:rPr>
        <w:tab/>
      </w:r>
      <w:r w:rsidRPr="00E76739">
        <w:rPr>
          <w:rFonts w:ascii="Calibri" w:eastAsia="SimSun" w:hAnsi="Calibri" w:cs="Calibri"/>
          <w:b/>
          <w:lang w:val="en-GB" w:eastAsia="zh-CN"/>
        </w:rPr>
        <w:t>Denmark</w:t>
      </w:r>
      <w:bookmarkEnd w:id="19"/>
      <w:bookmarkEnd w:id="20"/>
      <w:bookmarkEnd w:id="21"/>
    </w:p>
    <w:p w14:paraId="5C669D80" w14:textId="6BB1CE3C" w:rsidR="00E76739" w:rsidRPr="00E76739" w:rsidRDefault="00E76739" w:rsidP="00E76739">
      <w:pPr>
        <w:spacing w:after="240" w:line="240" w:lineRule="auto"/>
        <w:jc w:val="both"/>
        <w:rPr>
          <w:rFonts w:ascii="Calibri" w:eastAsia="Calibri" w:hAnsi="Calibri" w:cs="Calibri"/>
          <w:lang w:val="en-GB" w:eastAsia="zh-CN"/>
        </w:rPr>
      </w:pPr>
      <w:r w:rsidRPr="00E76739">
        <w:rPr>
          <w:rFonts w:ascii="Calibri" w:eastAsia="Calibri" w:hAnsi="Calibri" w:cs="Calibri"/>
          <w:lang w:val="en-GB" w:eastAsia="zh-CN"/>
        </w:rPr>
        <w:t>In Denmark, the FIU will start an investigation</w:t>
      </w:r>
      <w:r w:rsidR="00424AEF">
        <w:rPr>
          <w:rFonts w:ascii="Calibri" w:eastAsia="Calibri" w:hAnsi="Calibri" w:cs="Calibri"/>
          <w:lang w:val="en-GB" w:eastAsia="zh-CN"/>
        </w:rPr>
        <w:t xml:space="preserve"> upon receiving an STR</w:t>
      </w:r>
      <w:r w:rsidRPr="00E76739">
        <w:rPr>
          <w:rFonts w:ascii="Calibri" w:eastAsia="Calibri" w:hAnsi="Calibri" w:cs="Calibri"/>
          <w:lang w:val="en-GB" w:eastAsia="zh-CN"/>
        </w:rPr>
        <w:t>. According to the Danish representative, if from the STR the FIU cannot directly see that a crime was committed, they forward the STR to the tax authorities, the FSA or the Danish Commerce and Companies Agency. Depending on the nature of the case and its complexity the FIU will forward a report to the Office of Prosecution for Serious Economic Crimes or to the police for further criminal investigation. The law enforcement agencies lead the pre-trial criminal investigation and</w:t>
      </w:r>
      <w:r w:rsidR="00424AEF" w:rsidRPr="00E76739">
        <w:rPr>
          <w:rFonts w:ascii="Calibri" w:eastAsia="Calibri" w:hAnsi="Calibri" w:cs="Calibri"/>
          <w:lang w:val="en-GB" w:eastAsia="zh-CN"/>
        </w:rPr>
        <w:t xml:space="preserve"> </w:t>
      </w:r>
      <w:r w:rsidRPr="00E76739">
        <w:rPr>
          <w:rFonts w:ascii="Calibri" w:eastAsia="Calibri" w:hAnsi="Calibri" w:cs="Calibri"/>
          <w:lang w:val="en-GB" w:eastAsia="zh-CN"/>
        </w:rPr>
        <w:t xml:space="preserve">only </w:t>
      </w:r>
      <w:r w:rsidR="00424AEF">
        <w:rPr>
          <w:rFonts w:ascii="Calibri" w:eastAsia="Calibri" w:hAnsi="Calibri" w:cs="Calibri"/>
          <w:lang w:val="en-GB" w:eastAsia="zh-CN"/>
        </w:rPr>
        <w:t>where</w:t>
      </w:r>
      <w:r w:rsidR="00424AEF" w:rsidRPr="00E76739">
        <w:rPr>
          <w:rFonts w:ascii="Calibri" w:eastAsia="Calibri" w:hAnsi="Calibri" w:cs="Calibri"/>
          <w:lang w:val="en-GB" w:eastAsia="zh-CN"/>
        </w:rPr>
        <w:t xml:space="preserve"> </w:t>
      </w:r>
      <w:r w:rsidRPr="00E76739">
        <w:rPr>
          <w:rFonts w:ascii="Calibri" w:eastAsia="Calibri" w:hAnsi="Calibri" w:cs="Calibri"/>
          <w:lang w:val="en-GB" w:eastAsia="zh-CN"/>
        </w:rPr>
        <w:t>the case turns out to be very complicated does a prosecutor lead the case.</w:t>
      </w:r>
    </w:p>
    <w:p w14:paraId="67B52245" w14:textId="1F41B1C2" w:rsidR="00E76739" w:rsidRPr="00E76739" w:rsidRDefault="00E76739" w:rsidP="00E76739">
      <w:pPr>
        <w:spacing w:after="0" w:line="240" w:lineRule="auto"/>
        <w:jc w:val="center"/>
        <w:rPr>
          <w:rFonts w:ascii="Calibri" w:eastAsia="SimSun" w:hAnsi="Calibri" w:cs="Times New Roman"/>
          <w:b/>
          <w:lang w:val="en-GB" w:eastAsia="zh-CN"/>
        </w:rPr>
      </w:pPr>
      <w:bookmarkStart w:id="22" w:name="_Toc350517097"/>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0A5122">
        <w:rPr>
          <w:rFonts w:ascii="Calibri" w:eastAsia="SimSun" w:hAnsi="Calibri" w:cs="Times New Roman"/>
          <w:b/>
          <w:lang w:val="en-GB" w:eastAsia="zh-CN"/>
        </w:rPr>
        <w:t>10</w:t>
      </w:r>
      <w:r w:rsidRPr="00E76739">
        <w:rPr>
          <w:rFonts w:ascii="Calibri" w:eastAsia="SimSun" w:hAnsi="Calibri" w:cs="Times New Roman"/>
          <w:b/>
          <w:lang w:val="en-GB" w:eastAsia="zh-CN"/>
        </w:rPr>
        <w:t>: AML/CTF Information flows in Denmark</w:t>
      </w:r>
      <w:r w:rsidRPr="00E76739">
        <w:rPr>
          <w:rFonts w:ascii="Calibri" w:eastAsia="SimSun" w:hAnsi="Calibri" w:cs="Times New Roman"/>
          <w:vertAlign w:val="superscript"/>
          <w:lang w:val="en-GB" w:eastAsia="zh-CN"/>
        </w:rPr>
        <w:footnoteReference w:id="23"/>
      </w:r>
      <w:bookmarkEnd w:id="22"/>
    </w:p>
    <w:p w14:paraId="2AF0AB0D" w14:textId="77777777" w:rsidR="00E76739" w:rsidRPr="00E76739" w:rsidRDefault="00E76739" w:rsidP="00E76739">
      <w:pPr>
        <w:spacing w:after="0" w:line="240" w:lineRule="auto"/>
        <w:jc w:val="both"/>
        <w:rPr>
          <w:rFonts w:ascii="Calibri" w:eastAsia="SimSun" w:hAnsi="Calibri" w:cs="Times New Roman"/>
          <w:b/>
          <w:lang w:val="en-GB" w:eastAsia="zh-CN"/>
        </w:rPr>
      </w:pPr>
    </w:p>
    <w:p w14:paraId="6DDEE078" w14:textId="77777777" w:rsidR="00E76739" w:rsidRPr="00E76739" w:rsidRDefault="00C9097D" w:rsidP="00E76739">
      <w:pPr>
        <w:spacing w:after="0" w:line="240" w:lineRule="auto"/>
        <w:jc w:val="both"/>
        <w:rPr>
          <w:rFonts w:ascii="Calibri" w:eastAsia="Times New Roman" w:hAnsi="Calibri" w:cs="Calibri"/>
          <w:lang w:val="en-GB" w:eastAsia="zh-CN"/>
        </w:rPr>
      </w:pPr>
      <w:r>
        <w:rPr>
          <w:rFonts w:ascii="Verdana" w:eastAsia="SimSun" w:hAnsi="Verdana" w:cs="Times New Roman"/>
          <w:noProof/>
          <w:lang w:val="en-US" w:eastAsia="en-US"/>
        </w:rPr>
        <mc:AlternateContent>
          <mc:Choice Requires="wpc">
            <w:drawing>
              <wp:inline distT="0" distB="0" distL="0" distR="0" wp14:anchorId="239694E4" wp14:editId="62DAA8F8">
                <wp:extent cx="5276850" cy="2457450"/>
                <wp:effectExtent l="0" t="1270" r="0" b="0"/>
                <wp:docPr id="377" name="Papier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8" name="Afgeronde rechthoek 30"/>
                        <wps:cNvSpPr>
                          <a:spLocks noChangeArrowheads="1"/>
                        </wps:cNvSpPr>
                        <wps:spPr bwMode="auto">
                          <a:xfrm>
                            <a:off x="47600" y="702714"/>
                            <a:ext cx="981109" cy="533411"/>
                          </a:xfrm>
                          <a:prstGeom prst="roundRect">
                            <a:avLst>
                              <a:gd name="adj" fmla="val 16667"/>
                            </a:avLst>
                          </a:prstGeom>
                          <a:solidFill>
                            <a:srgbClr val="4F81BD"/>
                          </a:solidFill>
                          <a:ln w="25400">
                            <a:solidFill>
                              <a:srgbClr val="385D8A"/>
                            </a:solidFill>
                            <a:round/>
                            <a:headEnd/>
                            <a:tailEnd/>
                          </a:ln>
                        </wps:spPr>
                        <wps:txbx>
                          <w:txbxContent>
                            <w:p w14:paraId="575DCD66" w14:textId="11A956D7" w:rsidR="00972546" w:rsidRDefault="00972546" w:rsidP="00E76739">
                              <w:pPr>
                                <w:jc w:val="center"/>
                                <w:rPr>
                                  <w:color w:val="FFFFFF"/>
                                </w:rPr>
                              </w:pPr>
                              <w:r>
                                <w:rPr>
                                  <w:color w:val="FFFFFF"/>
                                </w:rPr>
                                <w:t>Supervised Entities</w:t>
                              </w:r>
                            </w:p>
                          </w:txbxContent>
                        </wps:txbx>
                        <wps:bodyPr rot="0" vert="horz" wrap="square" lIns="91440" tIns="45720" rIns="91440" bIns="45720" anchor="ctr" anchorCtr="0" upright="1">
                          <a:noAutofit/>
                        </wps:bodyPr>
                      </wps:wsp>
                      <wps:wsp>
                        <wps:cNvPr id="319" name="Afgeronde rechthoek 31"/>
                        <wps:cNvSpPr>
                          <a:spLocks noChangeArrowheads="1"/>
                        </wps:cNvSpPr>
                        <wps:spPr bwMode="auto">
                          <a:xfrm>
                            <a:off x="47600" y="1368528"/>
                            <a:ext cx="981109" cy="533411"/>
                          </a:xfrm>
                          <a:prstGeom prst="roundRect">
                            <a:avLst>
                              <a:gd name="adj" fmla="val 16667"/>
                            </a:avLst>
                          </a:prstGeom>
                          <a:solidFill>
                            <a:srgbClr val="4F81BD"/>
                          </a:solidFill>
                          <a:ln w="25400">
                            <a:solidFill>
                              <a:srgbClr val="385D8A"/>
                            </a:solidFill>
                            <a:round/>
                            <a:headEnd/>
                            <a:tailEnd/>
                          </a:ln>
                        </wps:spPr>
                        <wps:txbx>
                          <w:txbxContent>
                            <w:p w14:paraId="70B9CC19"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wps:txbx>
                        <wps:bodyPr rot="0" vert="horz" wrap="square" lIns="91440" tIns="45720" rIns="91440" bIns="45720" anchor="ctr" anchorCtr="0" upright="1">
                          <a:noAutofit/>
                        </wps:bodyPr>
                      </wps:wsp>
                      <wps:wsp>
                        <wps:cNvPr id="320" name="Afgeronde rechthoek 33"/>
                        <wps:cNvSpPr>
                          <a:spLocks noChangeArrowheads="1"/>
                        </wps:cNvSpPr>
                        <wps:spPr bwMode="auto">
                          <a:xfrm>
                            <a:off x="1257312" y="977920"/>
                            <a:ext cx="971509" cy="533411"/>
                          </a:xfrm>
                          <a:prstGeom prst="roundRect">
                            <a:avLst>
                              <a:gd name="adj" fmla="val 16667"/>
                            </a:avLst>
                          </a:prstGeom>
                          <a:solidFill>
                            <a:srgbClr val="4F81BD"/>
                          </a:solidFill>
                          <a:ln w="25400">
                            <a:solidFill>
                              <a:srgbClr val="385D8A"/>
                            </a:solidFill>
                            <a:round/>
                            <a:headEnd/>
                            <a:tailEnd/>
                          </a:ln>
                        </wps:spPr>
                        <wps:txbx>
                          <w:txbxContent>
                            <w:p w14:paraId="4BD6AA5B"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wps:txbx>
                        <wps:bodyPr rot="0" vert="horz" wrap="square" lIns="91440" tIns="45720" rIns="91440" bIns="45720" anchor="ctr" anchorCtr="0" upright="1">
                          <a:noAutofit/>
                        </wps:bodyPr>
                      </wps:wsp>
                      <wps:wsp>
                        <wps:cNvPr id="321" name="Afgeronde rechthoek 34"/>
                        <wps:cNvSpPr>
                          <a:spLocks noChangeArrowheads="1"/>
                        </wps:cNvSpPr>
                        <wps:spPr bwMode="auto">
                          <a:xfrm>
                            <a:off x="2769826" y="1730835"/>
                            <a:ext cx="971609" cy="533411"/>
                          </a:xfrm>
                          <a:prstGeom prst="roundRect">
                            <a:avLst>
                              <a:gd name="adj" fmla="val 16667"/>
                            </a:avLst>
                          </a:prstGeom>
                          <a:solidFill>
                            <a:srgbClr val="4F81BD"/>
                          </a:solidFill>
                          <a:ln w="25400">
                            <a:solidFill>
                              <a:srgbClr val="385D8A"/>
                            </a:solidFill>
                            <a:round/>
                            <a:headEnd/>
                            <a:tailEnd/>
                          </a:ln>
                        </wps:spPr>
                        <wps:txbx>
                          <w:txbxContent>
                            <w:p w14:paraId="3F522E95"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wps:txbx>
                        <wps:bodyPr rot="0" vert="horz" wrap="square" lIns="91440" tIns="45720" rIns="91440" bIns="45720" anchor="ctr" anchorCtr="0" upright="1">
                          <a:noAutofit/>
                        </wps:bodyPr>
                      </wps:wsp>
                      <wps:wsp>
                        <wps:cNvPr id="322" name="Afgeronde rechthoek 35"/>
                        <wps:cNvSpPr>
                          <a:spLocks noChangeArrowheads="1"/>
                        </wps:cNvSpPr>
                        <wps:spPr bwMode="auto">
                          <a:xfrm>
                            <a:off x="4170940" y="1730835"/>
                            <a:ext cx="970909" cy="533411"/>
                          </a:xfrm>
                          <a:prstGeom prst="roundRect">
                            <a:avLst>
                              <a:gd name="adj" fmla="val 16667"/>
                            </a:avLst>
                          </a:prstGeom>
                          <a:solidFill>
                            <a:srgbClr val="4F81BD"/>
                          </a:solidFill>
                          <a:ln w="25400">
                            <a:solidFill>
                              <a:srgbClr val="385D8A"/>
                            </a:solidFill>
                            <a:round/>
                            <a:headEnd/>
                            <a:tailEnd/>
                          </a:ln>
                        </wps:spPr>
                        <wps:txbx>
                          <w:txbxContent>
                            <w:p w14:paraId="61FBB71B"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wps:txbx>
                        <wps:bodyPr rot="0" vert="horz" wrap="square" lIns="91440" tIns="45720" rIns="91440" bIns="45720" anchor="ctr" anchorCtr="0" upright="1">
                          <a:noAutofit/>
                        </wps:bodyPr>
                      </wps:wsp>
                      <wps:wsp>
                        <wps:cNvPr id="323" name="Gebogen verbindingslijn 37"/>
                        <wps:cNvCnPr>
                          <a:cxnSpLocks noChangeShapeType="1"/>
                        </wps:cNvCnPr>
                        <wps:spPr bwMode="auto">
                          <a:xfrm rot="16200000" flipH="1">
                            <a:off x="859508" y="914723"/>
                            <a:ext cx="76202" cy="719007"/>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24" name="Gebogen verbindingslijn 38"/>
                        <wps:cNvCnPr>
                          <a:cxnSpLocks noChangeShapeType="1"/>
                        </wps:cNvCnPr>
                        <wps:spPr bwMode="auto">
                          <a:xfrm rot="5400000" flipH="1" flipV="1">
                            <a:off x="869508" y="980724"/>
                            <a:ext cx="56201" cy="718907"/>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25" name="Afgeronde rechthoek 50"/>
                        <wps:cNvSpPr>
                          <a:spLocks noChangeArrowheads="1"/>
                        </wps:cNvSpPr>
                        <wps:spPr bwMode="auto">
                          <a:xfrm>
                            <a:off x="1257012" y="1723035"/>
                            <a:ext cx="970909" cy="532811"/>
                          </a:xfrm>
                          <a:prstGeom prst="roundRect">
                            <a:avLst>
                              <a:gd name="adj" fmla="val 16667"/>
                            </a:avLst>
                          </a:prstGeom>
                          <a:solidFill>
                            <a:srgbClr val="4F81BD"/>
                          </a:solidFill>
                          <a:ln w="25400">
                            <a:solidFill>
                              <a:srgbClr val="385D8A"/>
                            </a:solidFill>
                            <a:round/>
                            <a:headEnd/>
                            <a:tailEnd/>
                          </a:ln>
                        </wps:spPr>
                        <wps:txbx>
                          <w:txbxContent>
                            <w:p w14:paraId="41046677" w14:textId="77777777" w:rsidR="00972546" w:rsidRDefault="00972546" w:rsidP="00E76739">
                              <w:pPr>
                                <w:pStyle w:val="NormalWeb"/>
                                <w:spacing w:after="0"/>
                                <w:jc w:val="center"/>
                              </w:pPr>
                              <w:r>
                                <w:rPr>
                                  <w:rFonts w:ascii="Calibri" w:hAnsi="Calibri" w:cs="Calibri"/>
                                  <w:color w:val="FFFFFF"/>
                                  <w:sz w:val="22"/>
                                  <w:szCs w:val="22"/>
                                </w:rPr>
                                <w:t>Police</w:t>
                              </w:r>
                            </w:p>
                          </w:txbxContent>
                        </wps:txbx>
                        <wps:bodyPr rot="0" vert="horz" wrap="square" lIns="91440" tIns="45720" rIns="91440" bIns="45720" anchor="ctr" anchorCtr="0" upright="1">
                          <a:noAutofit/>
                        </wps:bodyPr>
                      </wps:wsp>
                      <wps:wsp>
                        <wps:cNvPr id="326" name="Gebogen verbindingslijn 48"/>
                        <wps:cNvCnPr>
                          <a:cxnSpLocks noChangeShapeType="1"/>
                        </wps:cNvCnPr>
                        <wps:spPr bwMode="auto">
                          <a:xfrm>
                            <a:off x="538105" y="1901839"/>
                            <a:ext cx="718907" cy="87602"/>
                          </a:xfrm>
                          <a:prstGeom prst="bentConnector3">
                            <a:avLst>
                              <a:gd name="adj1" fmla="val -1676"/>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327" name="Rechte verbindingslijn met pijl 49"/>
                        <wps:cNvCnPr>
                          <a:cxnSpLocks noChangeShapeType="1"/>
                        </wps:cNvCnPr>
                        <wps:spPr bwMode="auto">
                          <a:xfrm flipH="1">
                            <a:off x="1742517" y="1511331"/>
                            <a:ext cx="500" cy="211704"/>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8" name="Afgeronde rechthoek 53"/>
                        <wps:cNvSpPr>
                          <a:spLocks noChangeArrowheads="1"/>
                        </wps:cNvSpPr>
                        <wps:spPr bwMode="auto">
                          <a:xfrm>
                            <a:off x="2495524" y="875118"/>
                            <a:ext cx="1438314" cy="735615"/>
                          </a:xfrm>
                          <a:prstGeom prst="roundRect">
                            <a:avLst>
                              <a:gd name="adj" fmla="val 16667"/>
                            </a:avLst>
                          </a:prstGeom>
                          <a:solidFill>
                            <a:srgbClr val="4F81BD"/>
                          </a:solidFill>
                          <a:ln w="25400">
                            <a:solidFill>
                              <a:srgbClr val="385D8A"/>
                            </a:solidFill>
                            <a:round/>
                            <a:headEnd/>
                            <a:tailEnd/>
                          </a:ln>
                        </wps:spPr>
                        <wps:txbx>
                          <w:txbxContent>
                            <w:p w14:paraId="6B66B0E3" w14:textId="77777777" w:rsidR="00972546" w:rsidRPr="000E233C" w:rsidRDefault="00972546" w:rsidP="00E76739">
                              <w:pPr>
                                <w:pStyle w:val="NormalWeb"/>
                                <w:spacing w:after="0"/>
                                <w:jc w:val="center"/>
                                <w:rPr>
                                  <w:sz w:val="18"/>
                                  <w:szCs w:val="18"/>
                                  <w:lang w:val="en-US"/>
                                </w:rPr>
                              </w:pPr>
                              <w:r w:rsidRPr="000E233C">
                                <w:rPr>
                                  <w:rFonts w:ascii="Calibri" w:hAnsi="Calibri" w:cs="Calibri"/>
                                  <w:color w:val="FFFFFF"/>
                                  <w:sz w:val="18"/>
                                  <w:szCs w:val="18"/>
                                  <w:lang w:val="en-US"/>
                                </w:rPr>
                                <w:t>Office of the Prosecution for Serious Economic Crime</w:t>
                              </w:r>
                            </w:p>
                          </w:txbxContent>
                        </wps:txbx>
                        <wps:bodyPr rot="0" vert="horz" wrap="square" lIns="91440" tIns="45720" rIns="91440" bIns="45720" anchor="ctr" anchorCtr="0" upright="1">
                          <a:noAutofit/>
                        </wps:bodyPr>
                      </wps:wsp>
                      <wps:wsp>
                        <wps:cNvPr id="329" name="Rechthoek 52"/>
                        <wps:cNvSpPr>
                          <a:spLocks noChangeArrowheads="1"/>
                        </wps:cNvSpPr>
                        <wps:spPr bwMode="auto">
                          <a:xfrm>
                            <a:off x="2447923" y="800016"/>
                            <a:ext cx="1543015" cy="1581132"/>
                          </a:xfrm>
                          <a:prstGeom prst="rect">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 name="Gebogen verbindingslijn 54"/>
                        <wps:cNvCnPr>
                          <a:cxnSpLocks noChangeShapeType="1"/>
                        </wps:cNvCnPr>
                        <wps:spPr bwMode="auto">
                          <a:xfrm flipV="1">
                            <a:off x="2228821" y="1242925"/>
                            <a:ext cx="266703" cy="1700"/>
                          </a:xfrm>
                          <a:prstGeom prst="bentConnector3">
                            <a:avLst>
                              <a:gd name="adj1" fmla="val 50000"/>
                            </a:avLst>
                          </a:prstGeom>
                          <a:noFill/>
                          <a:ln w="19050">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331" name="Rechte verbindingslijn met pijl 55"/>
                        <wps:cNvCnPr>
                          <a:cxnSpLocks noChangeShapeType="1"/>
                        </wps:cNvCnPr>
                        <wps:spPr bwMode="auto">
                          <a:xfrm flipV="1">
                            <a:off x="2227921" y="1989340"/>
                            <a:ext cx="541905" cy="1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33" name="Rechte verbindingslijn met pijl 56"/>
                        <wps:cNvCnPr>
                          <a:cxnSpLocks noChangeShapeType="1"/>
                        </wps:cNvCnPr>
                        <wps:spPr bwMode="auto">
                          <a:xfrm flipV="1">
                            <a:off x="3741435" y="1997541"/>
                            <a:ext cx="429504"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34" name="Rechte verbindingslijn met pijl 57"/>
                        <wps:cNvCnPr>
                          <a:cxnSpLocks noChangeShapeType="1"/>
                        </wps:cNvCnPr>
                        <wps:spPr bwMode="auto">
                          <a:xfrm flipH="1">
                            <a:off x="2228821" y="1438229"/>
                            <a:ext cx="266703" cy="0"/>
                          </a:xfrm>
                          <a:prstGeom prst="straightConnector1">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35" name="Afgeronde rechthoek 60"/>
                        <wps:cNvSpPr>
                          <a:spLocks noChangeArrowheads="1"/>
                        </wps:cNvSpPr>
                        <wps:spPr bwMode="auto">
                          <a:xfrm>
                            <a:off x="1904018" y="60301"/>
                            <a:ext cx="1563115" cy="630813"/>
                          </a:xfrm>
                          <a:prstGeom prst="roundRect">
                            <a:avLst>
                              <a:gd name="adj" fmla="val 16667"/>
                            </a:avLst>
                          </a:prstGeom>
                          <a:solidFill>
                            <a:srgbClr val="4F81BD"/>
                          </a:solidFill>
                          <a:ln w="25400">
                            <a:solidFill>
                              <a:srgbClr val="385D8A"/>
                            </a:solidFill>
                            <a:round/>
                            <a:headEnd/>
                            <a:tailEnd/>
                          </a:ln>
                        </wps:spPr>
                        <wps:txbx>
                          <w:txbxContent>
                            <w:p w14:paraId="664C995B" w14:textId="77777777" w:rsidR="00972546" w:rsidRPr="000E233C" w:rsidRDefault="00972546" w:rsidP="00E76739">
                              <w:pPr>
                                <w:pStyle w:val="NormalWeb"/>
                                <w:spacing w:after="0"/>
                                <w:rPr>
                                  <w:rFonts w:ascii="Calibri" w:hAnsi="Calibri" w:cs="Calibri"/>
                                  <w:color w:val="FFFFFF"/>
                                  <w:sz w:val="18"/>
                                  <w:szCs w:val="18"/>
                                  <w:lang w:val="en-US"/>
                                </w:rPr>
                              </w:pPr>
                              <w:r w:rsidRPr="000E233C">
                                <w:rPr>
                                  <w:rFonts w:ascii="Calibri" w:hAnsi="Calibri" w:cs="Calibri"/>
                                  <w:color w:val="FFFFFF"/>
                                  <w:sz w:val="18"/>
                                  <w:szCs w:val="18"/>
                                  <w:lang w:val="en-US"/>
                                </w:rPr>
                                <w:t>Other institutions, like:</w:t>
                              </w:r>
                            </w:p>
                            <w:p w14:paraId="23A42635" w14:textId="287528C2" w:rsidR="00972546" w:rsidRPr="000E233C" w:rsidRDefault="00972546" w:rsidP="00E76739">
                              <w:pPr>
                                <w:pStyle w:val="NormalWeb"/>
                                <w:spacing w:after="0"/>
                                <w:rPr>
                                  <w:rFonts w:ascii="Calibri" w:hAnsi="Calibri" w:cs="Calibri"/>
                                  <w:color w:val="FFFFFF"/>
                                  <w:sz w:val="18"/>
                                  <w:szCs w:val="18"/>
                                  <w:lang w:val="en-US"/>
                                </w:rPr>
                              </w:pPr>
                              <w:r w:rsidRPr="000E233C">
                                <w:rPr>
                                  <w:rFonts w:ascii="Calibri" w:hAnsi="Calibri" w:cs="Calibri"/>
                                  <w:color w:val="FFFFFF"/>
                                  <w:sz w:val="18"/>
                                  <w:szCs w:val="18"/>
                                  <w:lang w:val="en-US"/>
                                </w:rPr>
                                <w:t>-</w:t>
                              </w:r>
                              <w:r>
                                <w:rPr>
                                  <w:rFonts w:ascii="Calibri" w:hAnsi="Calibri" w:cs="Calibri"/>
                                  <w:color w:val="FFFFFF"/>
                                  <w:sz w:val="18"/>
                                  <w:szCs w:val="18"/>
                                  <w:lang w:val="en-US"/>
                                </w:rPr>
                                <w:t xml:space="preserve"> </w:t>
                              </w:r>
                              <w:r w:rsidRPr="000E233C">
                                <w:rPr>
                                  <w:rFonts w:ascii="Calibri" w:hAnsi="Calibri" w:cs="Calibri"/>
                                  <w:color w:val="FFFFFF"/>
                                  <w:sz w:val="18"/>
                                  <w:szCs w:val="18"/>
                                  <w:lang w:val="en-US"/>
                                </w:rPr>
                                <w:t>FSA (5%)</w:t>
                              </w:r>
                            </w:p>
                            <w:p w14:paraId="6B5A732D" w14:textId="77777777" w:rsidR="00972546" w:rsidRPr="000E233C" w:rsidRDefault="00972546" w:rsidP="00E76739">
                              <w:pPr>
                                <w:pStyle w:val="NormalWeb"/>
                                <w:spacing w:after="0"/>
                                <w:rPr>
                                  <w:rFonts w:ascii="Calibri" w:hAnsi="Calibri" w:cs="Calibri"/>
                                  <w:color w:val="FFFFFF"/>
                                  <w:sz w:val="18"/>
                                  <w:szCs w:val="18"/>
                                  <w:lang w:val="en-US"/>
                                </w:rPr>
                              </w:pPr>
                              <w:r w:rsidRPr="000E233C">
                                <w:rPr>
                                  <w:rFonts w:ascii="Calibri" w:hAnsi="Calibri" w:cs="Calibri"/>
                                  <w:color w:val="FFFFFF"/>
                                  <w:sz w:val="18"/>
                                  <w:szCs w:val="18"/>
                                  <w:lang w:val="en-US"/>
                                </w:rPr>
                                <w:t>- Tax Administration (10%)</w:t>
                              </w:r>
                            </w:p>
                            <w:p w14:paraId="080180D5" w14:textId="77777777" w:rsidR="00972546" w:rsidRPr="000E233C" w:rsidRDefault="00972546" w:rsidP="00E76739">
                              <w:pPr>
                                <w:pStyle w:val="NormalWeb"/>
                                <w:spacing w:after="0"/>
                                <w:jc w:val="center"/>
                                <w:rPr>
                                  <w:lang w:val="en-US"/>
                                </w:rPr>
                              </w:pPr>
                            </w:p>
                          </w:txbxContent>
                        </wps:txbx>
                        <wps:bodyPr rot="0" vert="horz" wrap="square" lIns="91440" tIns="45720" rIns="91440" bIns="45720" anchor="ctr" anchorCtr="0" upright="1">
                          <a:noAutofit/>
                        </wps:bodyPr>
                      </wps:wsp>
                      <wps:wsp>
                        <wps:cNvPr id="336" name="Gebogen verbindingslijn 58"/>
                        <wps:cNvCnPr>
                          <a:cxnSpLocks noChangeShapeType="1"/>
                        </wps:cNvCnPr>
                        <wps:spPr bwMode="auto">
                          <a:xfrm rot="5400000" flipH="1" flipV="1">
                            <a:off x="1522411" y="596313"/>
                            <a:ext cx="602212" cy="161002"/>
                          </a:xfrm>
                          <a:prstGeom prst="bentConnector2">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337" name="Tekstvak 29"/>
                        <wps:cNvSpPr txBox="1">
                          <a:spLocks noChangeArrowheads="1"/>
                        </wps:cNvSpPr>
                        <wps:spPr bwMode="auto">
                          <a:xfrm>
                            <a:off x="2009719" y="1499831"/>
                            <a:ext cx="838208" cy="27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7E7279"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wps:txbx>
                        <wps:bodyPr rot="0" vert="horz" wrap="square" lIns="91440" tIns="45720" rIns="91440" bIns="45720" anchor="t" anchorCtr="0" upright="1">
                          <a:noAutofit/>
                        </wps:bodyPr>
                      </wps:wsp>
                    </wpc:wpc>
                  </a:graphicData>
                </a:graphic>
              </wp:inline>
            </w:drawing>
          </mc:Choice>
          <mc:Fallback>
            <w:pict>
              <v:group id="Papier 47" o:spid="_x0000_s1026" style="width:415.5pt;height:193.5pt;mso-position-horizontal-relative:char;mso-position-vertical-relative:line" coordsize="5276850,2457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8ScCMIAABePQAADgAAAGRycy9lMm9Eb2MueG1s7Ftdc5tGFH3vTP8Dw7sidtnlQxM5Y0tW2pm0&#10;zdRp31eAJBLEqoAtuZ3+9969Cxhky7ISm7gz+EECI5b9OPfuPede3r7brRPjJsryWKZjk7yxTCNK&#10;AxnG6XJs/vFpNvBMIy9EGopEptHYvI1y893Zjz+83W5GEZUrmYRRZkAjaT7absbmqig2o+EwD1bR&#10;WuRv5CZK4eJCZmtRwGm2HIaZ2ELr62RILcsZbmUWbjIZRHkO/53qi+YZtr9YREHx22KRR4WRjE3o&#10;W4GfGX7O1efw7K0YLTOxWcVB2Q3xFb1YiziFh9ZNTUUhjOssvtfUOg4ymctF8SaQ66FcLOIgwjHA&#10;aIi1N5qJSG9EjoMJYHaqDsLRM7Y7X6p+p3IWJwnMxhBaH6n/qe8trE8E/9xuYHXyTb1O+bc9/2ol&#10;NhEOKx8Fv958zIw4HJs2AaykYg0oOV8so0ymYWRkUbAqVjL6Yti4WKoncMvV5mOmup1vPsjgS26k&#10;crIS6TI6zzK5XUUihB4StbgwnMYN6iSHW4359hcZwoPEdSFx3XaLbK0ahBUxdmOTuY4FcLkdm65F&#10;XcI0TqJdYQRw1fcIsXzTCOA6t21G9KPEqGplk+XF+0iuDXUwNjN5nYa/AxbxUeLmQ14gVsJyuCL8&#10;bBqLdQLIuxGJQRzHcbHzYlT+eChGVZs4bJnEoVowPMmW80mSGXArdHzmkYtpeXPe/FmSGtuxSTmD&#10;gT3ehu3xqXf+UBs4EDQZNceXaYjHhYgTfQzdTNJy0tU8a+QUu/muBNFchrcw/ZnUhgiOAw5WMvvb&#10;NLZghGMz/+taZJFpJD+nsIQ+YUxZLZ4w7lI4yZpX5s0rIg2gqbEZFJlp6JNJoW39epPFyxU8i+DY&#10;U3kOC7+Iiwohul9lzwHpnUEeUPQI5BFXLQR3AXliOx6nXo95NK+vxzx6tXoJe+hrT1x5e2XLj0Df&#10;VvDrCPqEctcmFP2977o+dA0dW+3vXcJ7f3+Sv0fs02oNe+zvYZ88in0MNzrCPnUd36MOYp+4tuXZ&#10;/B74nR78p4O/dmA9+PfAD472EceP8OsI/Iy4lq8iTAjkD4Df8nvwnw7+2oP14N8Dv12B/300l8so&#10;VeLJPE6VYJIn8efUsJH6lQYwSTXPDXbp1R7VRRL96XYDLFbTz9Yt6uQw09UEjDigoMAfcM8k3vxU&#10;kaOSAnvc5xYwcjANoGEuRX8mRlVM5MLNYMiKArvEt6yKsB6gwPMoLSYyTYEEy4ze8WBFwNrctlYi&#10;FJdUlNXnlB9hrOzcvby4UPsWNNZiveu4AH0piddj09ODxcjuAfpqFDiXQikIwEbH5joKgYdGIGup&#10;I922Yrc4ByWFV7OBMs8/4CYuvUuPDRh1LgfMCsPB+WzCBs6MuHxqTyeTKflXDYOw0SoOwyhV/L2S&#10;nAh7mqJSil9aLKpFp3rKhu3WcTqgi9U3dhoVkTtyrg1UjU5BpkPqS9lRS0AK2oK1GL2IJShRpG0I&#10;aBJ/7puEc2cSnuXCCBBMlUlwMAkI7LRJeH5vEr1JgDj9kLB7QAAFP/dIZMS7FEAVJbZKSkzA+Vv3&#10;aUEzMqKgiJYu8sAG0GugO+TEdXjbR0Z7kRFwUE0LDkVGrIP9QG3vZQDEbY9YYJGKG/gW8Wy/7e5d&#10;gj4e/b0H+QJUOyD+OGAArQjIvouA1BOXjUwA7CB3qYABcVynNKyHUwH13n9KuMRd/wInsw+XGsFY&#10;FSZV368rXHIr84BE0qqI7vGGNSQ5N/HnxGCI0xcOmx5iDMRllBPop7IYToht455wxxm44hoqPKIE&#10;iDdGT4ftJS8yoXI2NWvQqRu0Ah2MNzNiz2sG9zT/4+RAjMo02PGfwph7HoHp/ZOy4YeCpkezxryW&#10;4TrIGlPmc654DUDcc8EC9nJohNmeDclkTRFs7hCMBg7bQB806aAJt0Dl0fqgaS9oqvPHuCtgoQSv&#10;0y6dQJ5BvgxELQV5oNAEl+rO5RPObAtgjpAnHGiCfSROylp1Ek/w9E8paaDMnjnIn/YjHrWJTEW+&#10;0uUTIRzpKO/pwpHu4uv06C0tLG8WiszwrwwtGz/7agmpL+qoMttQqXSEyfBaHwcTfSmNV4Vo+woW&#10;pdTzKFAMFaJRRn2QHFoaFoXSIwvMWUVpEKNVJvOcnAaiwLrdJ3Ia4F+gfiim1EAqnDQBDeVBPalB&#10;X9RSmCsyU32/KlIDBKG0lGOkhte6SfcWAxtcaTG+59uQLmxZDGcKnaXF1MA+YDCvitTgMHrW8jFT&#10;VtNx9sOu84BHkV8Hvx0j33YZEJZKAPNdAHob+bB9cGDxuFcc2Sh63PdZP6zxtuus31Hcd5EHf0jG&#10;asVIwNgp3RN+mzHSd8f9bNYIp1rR0SFmc0/c6veBUlf4HvsA+NfDxVCaspZS7tULv/MAYQyDNAdy&#10;A8cC1t729oQ7NqmYvAOFggSltV68UjUnB956wIxf7cd68aotXtlHM368g4yf1i2eWAFCOKXqdR/F&#10;n7kPBrFXFQVZQKqy5kifHWKdlBR8/rKonhLrd9r+R2VRUP5Xbgifoi95cSO+GDr+aOwCRrG7kPAe&#10;ms6IvdQ7cFAc6ENpn9aKmO9D6qK9I3gQG6kKQczoudyxqkz1AfJ7krKrxJ46qVd62NdXedcKuFpy&#10;1Mn6qtbMy2JC0OasC+oPZo7nDtiC8YHvWt7AIv6F71jMZ9NZu5jwQ5xG315MqMoeHfuo1KYizlrp&#10;aE3Biap5rVSp7lcKVfX9kFKlXiXETbXeGDrZVItvf58QBAZ8hxdHV75wrN4Sbp7DcfO16LP/AAAA&#10;//8DAFBLAwQUAAYACAAAACEA2ZpMmNsAAAAFAQAADwAAAGRycy9kb3ducmV2LnhtbEyPQUvDQBCF&#10;74L/YRnBm93EoIaYTSlFPRXBVhBv02SahGZnQ3abpP/e0Yu9PHi84b1v8uVsOzXS4FvHBuJFBIq4&#10;dFXLtYHP3etdCsoH5Ao7x2TgTB6WxfVVjlnlJv6gcRtqJSXsMzTQhNBnWvuyIYt+4XpiyQ5usBjE&#10;DrWuBpyk3Hb6PooetcWWZaHBntYNlcftyRp4m3BaJfHLuDke1ufv3cP71yYmY25v5tUzqEBz+D+G&#10;X3xBh0KY9u7ElVedAXkk/KlkaRKL3RtI0qcIdJHrS/riBwAA//8DAFBLAQItABQABgAIAAAAIQDk&#10;mcPA+wAAAOEBAAATAAAAAAAAAAAAAAAAAAAAAABbQ29udGVudF9UeXBlc10ueG1sUEsBAi0AFAAG&#10;AAgAAAAhACOyauHXAAAAlAEAAAsAAAAAAAAAAAAAAAAALAEAAF9yZWxzLy5yZWxzUEsBAi0AFAAG&#10;AAgAAAAhAIlfEnAjCAAAXj0AAA4AAAAAAAAAAAAAAAAALAIAAGRycy9lMm9Eb2MueG1sUEsBAi0A&#10;FAAGAAgAAAAhANmaTJjbAAAABQEAAA8AAAAAAAAAAAAAAAAAewoAAGRycy9kb3ducmV2LnhtbFBL&#10;BQYAAAAABAAEAPMAAACD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6850;height:2457450;visibility:visible;mso-wrap-style:square">
                  <v:fill o:detectmouseclick="t"/>
                  <v:path o:connecttype="none"/>
                </v:shape>
                <v:roundrect id="Afgeronde rechthoek 30" o:spid="_x0000_s1028" style="position:absolute;left:47600;top:702714;width:981109;height:53341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wUfwAAA&#10;ANwAAAAPAAAAZHJzL2Rvd25yZXYueG1sRE9Ni8IwEL0L/ocwghdZUxVEu0YpguBBEasXb7PN2HZt&#10;JqWJWv+9OQgeH+97sWpNJR7UuNKygtEwAkGcWV1yruB82vzMQDiPrLGyTApe5GC17HYWGGv75CM9&#10;Up+LEMIuRgWF93UspcsKMuiGtiYO3NU2Bn2ATS51g88Qbio5jqKpNFhyaCiwpnVB2S29GwV75Hnp&#10;k8t2JwfJ6X8zkYfs76pUv9cmvyA8tf4r/ri3WsFkFNaGM+EIyO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AwUfwAAAANwAAAAPAAAAAAAAAAAAAAAAAJcCAABkcnMvZG93bnJl&#10;di54bWxQSwUGAAAAAAQABAD1AAAAhAMAAAAA&#10;" fillcolor="#4f81bd" strokecolor="#385d8a" strokeweight="2pt">
                  <v:textbox>
                    <w:txbxContent>
                      <w:p w14:paraId="575DCD66" w14:textId="11A956D7" w:rsidR="00972546" w:rsidRDefault="00972546" w:rsidP="00E76739">
                        <w:pPr>
                          <w:jc w:val="center"/>
                          <w:rPr>
                            <w:color w:val="FFFFFF"/>
                          </w:rPr>
                        </w:pPr>
                        <w:r>
                          <w:rPr>
                            <w:color w:val="FFFFFF"/>
                          </w:rPr>
                          <w:t>Supervised Entities</w:t>
                        </w:r>
                      </w:p>
                    </w:txbxContent>
                  </v:textbox>
                </v:roundrect>
                <v:roundrect id="Afgeronde rechthoek 31" o:spid="_x0000_s1029" style="position:absolute;left:47600;top:1368528;width:981109;height:53341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6CExgAA&#10;ANwAAAAPAAAAZHJzL2Rvd25yZXYueG1sRI9La8MwEITvgf4HsYFeQiy7gdC4lo0pBHJoKXlccttY&#10;60djrYylJu6/rwqFHoeZ+YbJisn04kaj6ywrSKIYBHFldceNgtNxu3wG4Tyyxt4yKfgmB0X+MMsw&#10;1fbOe7odfCMChF2KClrvh1RKV7Vk0EV2IA5ebUeDPsixkXrEe4CbXj7F8Voa7DgstDjQa0vV9fBl&#10;FLwjbzpfnndvclEeP7cr+VFdaqUe51P5AsLT5P/Df+2dVrBKNvB7JhwBm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T6CExgAAANwAAAAPAAAAAAAAAAAAAAAAAJcCAABkcnMv&#10;ZG93bnJldi54bWxQSwUGAAAAAAQABAD1AAAAigMAAAAA&#10;" fillcolor="#4f81bd" strokecolor="#385d8a" strokeweight="2pt">
                  <v:textbox>
                    <w:txbxContent>
                      <w:p w14:paraId="70B9CC19"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v:textbox>
                </v:roundrect>
                <v:roundrect id="Afgeronde rechthoek 33" o:spid="_x0000_s1030" style="position:absolute;left:1257312;top:977920;width:971509;height:53341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cOkwQAA&#10;ANwAAAAPAAAAZHJzL2Rvd25yZXYueG1sRE/LisIwFN0P+A/hCm6GMVVBtNMoRRBcKOJj4+5Oc/sY&#10;m5vSRK1/bxaCy8N5J8vO1OJOrassKxgNIxDEmdUVFwrOp/XPDITzyBpry6TgSQ6Wi95XgrG2Dz7Q&#10;/egLEULYxaig9L6JpXRZSQbd0DbEgctta9AH2BZSt/gI4aaW4yiaSoMVh4YSG1qVlF2PN6Nghzyv&#10;fHrZbOV3evpfT+Q++8uVGvS79BeEp85/xG/3RiuYjMP8cCYcAb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BnDpMEAAADcAAAADwAAAAAAAAAAAAAAAACXAgAAZHJzL2Rvd25y&#10;ZXYueG1sUEsFBgAAAAAEAAQA9QAAAIUDAAAAAA==&#10;" fillcolor="#4f81bd" strokecolor="#385d8a" strokeweight="2pt">
                  <v:textbox>
                    <w:txbxContent>
                      <w:p w14:paraId="4BD6AA5B"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v:textbox>
                </v:roundrect>
                <v:roundrect id="Afgeronde rechthoek 34" o:spid="_x0000_s1031" style="position:absolute;left:2769826;top:1730835;width:971609;height:53341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WY/xgAA&#10;ANwAAAAPAAAAZHJzL2Rvd25yZXYueG1sRI9Pa8JAFMTvgt9heUIvoptEkJpmlSAEcmgpai+9vWZf&#10;/rTZtyG7avrtu4VCj8PM/IbJDpPpxY1G11lWEK8jEMSV1R03Ct4uxeoRhPPIGnvLpOCbHBz281mG&#10;qbZ3PtHt7BsRIOxSVNB6P6RSuqolg25tB+Lg1XY06IMcG6lHvAe46WUSRVtpsOOw0OJAx5aqr/PV&#10;KHhB3nU+fy+f5TK/fBYb+Vp91Eo9LKb8CYSnyf+H/9qlVrBJYvg9E46A3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VWY/xgAAANwAAAAPAAAAAAAAAAAAAAAAAJcCAABkcnMv&#10;ZG93bnJldi54bWxQSwUGAAAAAAQABAD1AAAAigMAAAAA&#10;" fillcolor="#4f81bd" strokecolor="#385d8a" strokeweight="2pt">
                  <v:textbox>
                    <w:txbxContent>
                      <w:p w14:paraId="3F522E95"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v:textbox>
                </v:roundrect>
                <v:roundrect id="Afgeronde rechthoek 35" o:spid="_x0000_s1032" style="position:absolute;left:4170940;top:1730835;width:970909;height:53341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hIxAAA&#10;ANwAAAAPAAAAZHJzL2Rvd25yZXYueG1sRI9Bi8IwFITvgv8hvAUvoqkVZO0apQiCB0W0e/H2bJ5t&#10;d5uX0kSt/94sLHgcZuYbZrHqTC3u1LrKsoLJOAJBnFtdcaHgO9uMPkE4j6yxtkwKnuRgtez3Fpho&#10;++Aj3U++EAHCLkEFpfdNIqXLSzLoxrYhDt7VtgZ9kG0hdYuPADe1jKNoJg1WHBZKbGhdUv57uhkF&#10;e+R55dPzdieHafazmcpDfrkqNfjo0i8Qnjr/Dv+3t1rBNI7h70w4An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f4SMQAAADcAAAADwAAAAAAAAAAAAAAAACXAgAAZHJzL2Rv&#10;d25yZXYueG1sUEsFBgAAAAAEAAQA9QAAAIgDAAAAAA==&#10;" fillcolor="#4f81bd" strokecolor="#385d8a" strokeweight="2pt">
                  <v:textbox>
                    <w:txbxContent>
                      <w:p w14:paraId="61FBB71B"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v:textbox>
                </v:roundrect>
                <v:shapetype id="_x0000_t33" coordsize="21600,21600" o:spt="33" o:oned="t" path="m0,0l21600,,21600,21600e" filled="f">
                  <v:stroke joinstyle="miter"/>
                  <v:path arrowok="t" fillok="f" o:connecttype="none"/>
                  <o:lock v:ext="edit" shapetype="t"/>
                </v:shapetype>
                <v:shape id="Gebogen verbindingslijn 37" o:spid="_x0000_s1033" type="#_x0000_t33" style="position:absolute;left:859508;top:914723;width:76202;height:719007;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jtV8YAAADcAAAADwAAAGRycy9kb3ducmV2LnhtbESPQWvCQBSE7wX/w/IK3uqmUaykboJU&#10;KkKhkLSix0f2NQnJvg3ZVeO/7xaEHoeZ+YZZZ6PpxIUG11hW8DyLQBCXVjdcKfj+en9agXAeWWNn&#10;mRTcyEGWTh7WmGh75Zwuha9EgLBLUEHtfZ9I6cqaDLqZ7YmD92MHgz7IoZJ6wGuAm07GUbSUBhsO&#10;CzX29FZT2RZno+Dg2vPuhO2HPrbF5yJebPOXfKvU9HHcvILwNPr/8L291wrm8Rz+zoQjIN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7I7VfGAAAA3AAAAA8AAAAAAAAA&#10;AAAAAAAAoQIAAGRycy9kb3ducmV2LnhtbFBLBQYAAAAABAAEAPkAAACUAwAAAAA=&#10;" strokecolor="#4a7ebb">
                  <v:stroke endarrow="open"/>
                </v:shape>
                <v:shape id="Gebogen verbindingslijn 38" o:spid="_x0000_s1034" type="#_x0000_t33" style="position:absolute;left:869508;top:980724;width:56201;height:718907;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2MDMIAAADcAAAADwAAAGRycy9kb3ducmV2LnhtbESPQYvCMBSE74L/ITxhb5quK7JWo4ig&#10;eLS6sHt8Ns82bPNSmljrvzeC4HGYmW+YxaqzlWip8caxgs9RAoI4d9pwoeDntB1+g/ABWWPlmBTc&#10;ycNq2e8tMNXuxhm1x1CICGGfooIyhDqV0uclWfQjVxNH7+IaiyHKppC6wVuE20qOk2QqLRqOCyXW&#10;tCkp/z9erYKrNr/B7GbZxXXnWbavpD78tUp9DLr1HESgLrzDr/ZeK/gaT+B5Jh4B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j2MDMIAAADcAAAADwAAAAAAAAAAAAAA&#10;AAChAgAAZHJzL2Rvd25yZXYueG1sUEsFBgAAAAAEAAQA+QAAAJADAAAAAA==&#10;" strokecolor="#4a7ebb">
                  <v:stroke endarrow="open"/>
                </v:shape>
                <v:roundrect id="Afgeronde rechthoek 50" o:spid="_x0000_s1035" style="position:absolute;left:1257012;top:1723035;width:970909;height:53281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mA8xgAA&#10;ANwAAAAPAAAAZHJzL2Rvd25yZXYueG1sRI9Ba8JAFITvQv/D8gq9FLOpYrHRVUJByKFFmnjx9pp9&#10;JrHZtyG7jfHfu4WCx2FmvmHW29G0YqDeNZYVvEQxCOLS6oYrBYdiN12CcB5ZY2uZFFzJwXbzMFlj&#10;ou2Fv2jIfSUChF2CCmrvu0RKV9Zk0EW2Iw7eyfYGfZB9JXWPlwA3rZzF8as02HBYqLGj95rKn/zX&#10;KPhEfmt8esw+5HNanHdzuS+/T0o9PY7pCoSn0d/D/+1MK5jPFvB3JhwBub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bmA8xgAAANwAAAAPAAAAAAAAAAAAAAAAAJcCAABkcnMv&#10;ZG93bnJldi54bWxQSwUGAAAAAAQABAD1AAAAigMAAAAA&#10;" fillcolor="#4f81bd" strokecolor="#385d8a" strokeweight="2pt">
                  <v:textbox>
                    <w:txbxContent>
                      <w:p w14:paraId="41046677" w14:textId="77777777" w:rsidR="00972546" w:rsidRDefault="00972546" w:rsidP="00E76739">
                        <w:pPr>
                          <w:pStyle w:val="NormalWeb"/>
                          <w:spacing w:after="0"/>
                          <w:jc w:val="center"/>
                        </w:pPr>
                        <w:r>
                          <w:rPr>
                            <w:rFonts w:ascii="Calibri" w:hAnsi="Calibri" w:cs="Calibri"/>
                            <w:color w:val="FFFFFF"/>
                            <w:sz w:val="22"/>
                            <w:szCs w:val="22"/>
                          </w:rPr>
                          <w:t>Police</w:t>
                        </w:r>
                      </w:p>
                    </w:txbxContent>
                  </v:textbox>
                </v:roundre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Gebogen verbindingslijn 48" o:spid="_x0000_s1036" type="#_x0000_t34" style="position:absolute;left:538105;top:1901839;width:718907;height:87602;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1AAcUAAADcAAAADwAAAGRycy9kb3ducmV2LnhtbESPQWsCMRSE7wX/Q3iF3mq2imK3RhGL&#10;0INQzJaeXzfP3a2blyWJuvXXm4LgcZiZb5j5sretOJEPjWMFL8MMBHHpTMOVgq9i8zwDESKywdYx&#10;KfijAMvF4GGOuXFn3tFJx0okCIccFdQxdrmUoazJYhi6jjh5e+ctxiR9JY3Hc4LbVo6ybCotNpwW&#10;auxoXVN50EerwG4Krd8nn/ufV33QW7/6/T6OL0o9PfarNxCR+ngP39ofRsF4NIX/M+kIyM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d1AAcUAAADcAAAADwAAAAAAAAAA&#10;AAAAAAChAgAAZHJzL2Rvd25yZXYueG1sUEsFBgAAAAAEAAQA+QAAAJMDAAAAAA==&#10;" adj="-362" strokecolor="#4579b8">
                  <v:stroke endarrow="open"/>
                </v:shape>
                <v:shapetype id="_x0000_t32" coordsize="21600,21600" o:spt="32" o:oned="t" path="m0,0l21600,21600e" filled="f">
                  <v:path arrowok="t" fillok="f" o:connecttype="none"/>
                  <o:lock v:ext="edit" shapetype="t"/>
                </v:shapetype>
                <v:shape id="Rechte verbindingslijn met pijl 49" o:spid="_x0000_s1037" type="#_x0000_t32" style="position:absolute;left:1742517;top:1511331;width:500;height:21170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Tkq8MAAADcAAAADwAAAGRycy9kb3ducmV2LnhtbESPT4vCMBTE7wt+h/AEb2uqwlaqUURY&#10;3dOC/w69PZpnW21euk203W9vBMHjMDO/YebLzlTiTo0rLSsYDSMQxJnVJecKjofvzykI55E1VpZJ&#10;wT85WC56H3NMtG15R/e9z0WAsEtQQeF9nUjpsoIMuqGtiYN3to1BH2STS91gG+CmkuMo+pIGSw4L&#10;Bda0Lii77m9GwTb+M792e0CTnhzVepO2lzhVatDvVjMQnjr/Dr/aP1rBZBzD80w4An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k5KvDAAAA3AAAAA8AAAAAAAAAAAAA&#10;AAAAoQIAAGRycy9kb3ducmV2LnhtbFBLBQYAAAAABAAEAPkAAACRAwAAAAA=&#10;" strokecolor="#4579b8">
                  <v:stroke startarrow="open" endarrow="open"/>
                </v:shape>
                <v:roundrect id="Afgeronde rechthoek 53" o:spid="_x0000_s1038" style="position:absolute;left:2495524;top:875118;width:1438314;height:73561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8+iwQAA&#10;ANwAAAAPAAAAZHJzL2Rvd25yZXYueG1sRE/LisIwFN0P+A/hCm6GMVVBtNMoRRBcKOJj4+5Oc/sY&#10;m5vSRK1/bxaCy8N5J8vO1OJOrassKxgNIxDEmdUVFwrOp/XPDITzyBpry6TgSQ6Wi95XgrG2Dz7Q&#10;/egLEULYxaig9L6JpXRZSQbd0DbEgctta9AH2BZSt/gI4aaW4yiaSoMVh4YSG1qVlF2PN6Nghzyv&#10;fHrZbOV3evpfT+Q++8uVGvS79BeEp85/xG/3RiuYjMPacCYcAb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m/PosEAAADcAAAADwAAAAAAAAAAAAAAAACXAgAAZHJzL2Rvd25y&#10;ZXYueG1sUEsFBgAAAAAEAAQA9QAAAIUDAAAAAA==&#10;" fillcolor="#4f81bd" strokecolor="#385d8a" strokeweight="2pt">
                  <v:textbox>
                    <w:txbxContent>
                      <w:p w14:paraId="6B66B0E3" w14:textId="77777777" w:rsidR="00972546" w:rsidRPr="000E233C" w:rsidRDefault="00972546" w:rsidP="00E76739">
                        <w:pPr>
                          <w:pStyle w:val="NormalWeb"/>
                          <w:spacing w:after="0"/>
                          <w:jc w:val="center"/>
                          <w:rPr>
                            <w:sz w:val="18"/>
                            <w:szCs w:val="18"/>
                            <w:lang w:val="en-US"/>
                          </w:rPr>
                        </w:pPr>
                        <w:r w:rsidRPr="000E233C">
                          <w:rPr>
                            <w:rFonts w:ascii="Calibri" w:hAnsi="Calibri" w:cs="Calibri"/>
                            <w:color w:val="FFFFFF"/>
                            <w:sz w:val="18"/>
                            <w:szCs w:val="18"/>
                            <w:lang w:val="en-US"/>
                          </w:rPr>
                          <w:t>Office of the Prosecution for Serious Economic Crime</w:t>
                        </w:r>
                      </w:p>
                    </w:txbxContent>
                  </v:textbox>
                </v:roundrect>
                <v:rect id="Rechthoek 52" o:spid="_x0000_s1039" style="position:absolute;left:2447923;top:800016;width:1543015;height:15811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0CZkxQAA&#10;ANwAAAAPAAAAZHJzL2Rvd25yZXYueG1sRI/dasJAFITvBd9hOULvzEYL2kZX6Q+FglipVa+P2WMS&#10;mj27ZLcmvr0rCL0cZuYbZr7sTC3O1PjKsoJRkoIgzq2uuFCw+/kYPoHwAVljbZkUXMjDctHvzTHT&#10;tuVvOm9DISKEfYYKyhBcJqXPSzLoE+uIo3eyjcEQZVNI3WAb4aaW4zSdSIMVx4USHb2VlP9u/4yC&#10;9+Pm1LrXtdubtT10m3z1NTFTpR4G3csMRKAu/Ifv7U+t4HH8DLcz8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QJmTFAAAA3AAAAA8AAAAAAAAAAAAAAAAAlwIAAGRycy9k&#10;b3ducmV2LnhtbFBLBQYAAAAABAAEAPUAAACJAwAAAAA=&#10;" filled="f" strokecolor="#243f60" strokeweight="2pt">
                  <v:stroke dashstyle="dash"/>
                </v:rect>
                <v:shape id="Gebogen verbindingslijn 54" o:spid="_x0000_s1040" type="#_x0000_t34" style="position:absolute;left:2228821;top:1242925;width:266703;height:17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QhMUAAADcAAAADwAAAGRycy9kb3ducmV2LnhtbERPTWvCQBC9F/oflil4EbNRiy1pVpEQ&#10;26JQMHrpbciOSWh2NmRXk/777kHo8fG+081oWnGj3jWWFcyjGARxaXXDlYLzaTd7BeE8ssbWMin4&#10;JQeb9eNDiom2Ax/pVvhKhBB2CSqove8SKV1Zk0EX2Y44cBfbG/QB9pXUPQ4h3LRyEccrabDh0FBj&#10;R1lN5U9xNQryaj//+r4sjsVz8ZFPB/Nyfs8OSk2exu0bCE+j/xff3Z9awXIZ5ocz4QjI9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uQhMUAAADcAAAADwAAAAAAAAAA&#10;AAAAAAChAgAAZHJzL2Rvd25yZXYueG1sUEsFBgAAAAAEAAQA+QAAAJMDAAAAAA==&#10;" strokecolor="#4579b8" strokeweight="1.5pt">
                  <v:stroke endarrow="open"/>
                </v:shape>
                <v:shape id="Rechte verbindingslijn met pijl 55" o:spid="_x0000_s1041" type="#_x0000_t32" style="position:absolute;left:2227921;top:1989340;width:541905;height:1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luR8EAAADcAAAADwAAAGRycy9kb3ducmV2LnhtbESPQYvCMBSE7wv+h/CEva2pCuvSNS0i&#10;CN6kVe+P5NmWNi+1iVr//UYQ9jjMzDfMOh9tJ+40+MaxgvksAUGsnWm4UnA67r5+QPiAbLBzTAqe&#10;5CHPJh9rTI17cEH3MlQiQtinqKAOoU+l9Lomi37meuLoXdxgMUQ5VNIM+Ihw28lFknxLiw3HhRp7&#10;2tak2/JmFZSr/aHFi76Z03nXFqbwVF21Up/TcfMLItAY/sPv9t4oWC7n8DoTj4DM/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xeW5HwQAAANwAAAAPAAAAAAAAAAAAAAAA&#10;AKECAABkcnMvZG93bnJldi54bWxQSwUGAAAAAAQABAD5AAAAjwMAAAAA&#10;" strokecolor="#4579b8">
                  <v:stroke endarrow="open"/>
                </v:shape>
                <v:shape id="Rechte verbindingslijn met pijl 56" o:spid="_x0000_s1042" type="#_x0000_t32" style="position:absolute;left:3741435;top:1997541;width:429504;height: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dVq8IAAADcAAAADwAAAGRycy9kb3ducmV2LnhtbESPzWrDMBCE74W8g9hAbo3cGNriWgkl&#10;EPAt2HXvi7T+wdbKtZTEefuoUOhxmJlvmPyw2FFcafa9YwUv2wQEsXam51ZB/XV6fgfhA7LB0TEp&#10;uJOHw371lGNm3I1LulahFRHCPkMFXQhTJqXXHVn0WzcRR69xs8UQ5dxKM+Mtwu0od0nyKi32HBc6&#10;nOjYkR6qi1VQvRXnARt9MfX3aShN6an90Upt1svnB4hAS/gP/7ULoyBNU/g9E4+A3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udVq8IAAADcAAAADwAAAAAAAAAAAAAA&#10;AAChAgAAZHJzL2Rvd25yZXYueG1sUEsFBgAAAAAEAAQA+QAAAJADAAAAAA==&#10;" strokecolor="#4579b8">
                  <v:stroke endarrow="open"/>
                </v:shape>
                <v:shape id="Rechte verbindingslijn met pijl 57" o:spid="_x0000_s1043" type="#_x0000_t32" style="position:absolute;left:2228821;top:1438229;width:266703;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QW1sQAAADcAAAADwAAAGRycy9kb3ducmV2LnhtbESP3WoCMRSE7wu+QziCdzVrV1ZZjSJC&#10;a3vhhT8PcNgcN4ubkyVJdfXpm0Khl8PMfMMs171txY18aBwrmIwzEMSV0w3XCs6n99c5iBCRNbaO&#10;ScGDAqxXg5clltrd+UC3Y6xFgnAoUYGJsSulDJUhi2HsOuLkXZy3GJP0tdQe7wluW/mWZYW02HBa&#10;MNjR1lB1PX5bBRdvpvzc1YdCz/Z5br70R9HulRoN+80CRKQ+/of/2p9aQZ5P4fdMOgJy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tBbWxAAAANwAAAAPAAAAAAAAAAAA&#10;AAAAAKECAABkcnMvZG93bnJldi54bWxQSwUGAAAAAAQABAD5AAAAkgMAAAAA&#10;" strokecolor="red">
                  <v:stroke dashstyle="dash" endarrow="open"/>
                </v:shape>
                <v:roundrect id="Afgeronde rechthoek 60" o:spid="_x0000_s1044" style="position:absolute;left:1904018;top:60301;width:1563115;height:6308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bhxgAA&#10;ANwAAAAPAAAAZHJzL2Rvd25yZXYueG1sRI/NasMwEITvgbyD2EAvoZFbk9C6UYwpGHxoCPm59La1&#10;NrZba2Us1XHfvgoEchxm5htmnY6mFQP1rrGs4GkRgSAurW64UnA65o8vIJxH1thaJgV/5CDdTCdr&#10;TLS98J6Gg69EgLBLUEHtfZdI6cqaDLqF7YiDd7a9QR9kX0nd4yXATSufo2glDTYcFmrs6L2m8ufw&#10;axRskV8bn30WH3KeHb/zWO7Kr7NSD7MxewPhafT38K1daAVxvITrmXAE5O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t/bhxgAAANwAAAAPAAAAAAAAAAAAAAAAAJcCAABkcnMv&#10;ZG93bnJldi54bWxQSwUGAAAAAAQABAD1AAAAigMAAAAA&#10;" fillcolor="#4f81bd" strokecolor="#385d8a" strokeweight="2pt">
                  <v:textbox>
                    <w:txbxContent>
                      <w:p w14:paraId="664C995B" w14:textId="77777777" w:rsidR="00972546" w:rsidRPr="000E233C" w:rsidRDefault="00972546" w:rsidP="00E76739">
                        <w:pPr>
                          <w:pStyle w:val="NormalWeb"/>
                          <w:spacing w:after="0"/>
                          <w:rPr>
                            <w:rFonts w:ascii="Calibri" w:hAnsi="Calibri" w:cs="Calibri"/>
                            <w:color w:val="FFFFFF"/>
                            <w:sz w:val="18"/>
                            <w:szCs w:val="18"/>
                            <w:lang w:val="en-US"/>
                          </w:rPr>
                        </w:pPr>
                        <w:r w:rsidRPr="000E233C">
                          <w:rPr>
                            <w:rFonts w:ascii="Calibri" w:hAnsi="Calibri" w:cs="Calibri"/>
                            <w:color w:val="FFFFFF"/>
                            <w:sz w:val="18"/>
                            <w:szCs w:val="18"/>
                            <w:lang w:val="en-US"/>
                          </w:rPr>
                          <w:t>Other institutions, like:</w:t>
                        </w:r>
                      </w:p>
                      <w:p w14:paraId="23A42635" w14:textId="287528C2" w:rsidR="00972546" w:rsidRPr="000E233C" w:rsidRDefault="00972546" w:rsidP="00E76739">
                        <w:pPr>
                          <w:pStyle w:val="NormalWeb"/>
                          <w:spacing w:after="0"/>
                          <w:rPr>
                            <w:rFonts w:ascii="Calibri" w:hAnsi="Calibri" w:cs="Calibri"/>
                            <w:color w:val="FFFFFF"/>
                            <w:sz w:val="18"/>
                            <w:szCs w:val="18"/>
                            <w:lang w:val="en-US"/>
                          </w:rPr>
                        </w:pPr>
                        <w:r w:rsidRPr="000E233C">
                          <w:rPr>
                            <w:rFonts w:ascii="Calibri" w:hAnsi="Calibri" w:cs="Calibri"/>
                            <w:color w:val="FFFFFF"/>
                            <w:sz w:val="18"/>
                            <w:szCs w:val="18"/>
                            <w:lang w:val="en-US"/>
                          </w:rPr>
                          <w:t>-</w:t>
                        </w:r>
                        <w:r>
                          <w:rPr>
                            <w:rFonts w:ascii="Calibri" w:hAnsi="Calibri" w:cs="Calibri"/>
                            <w:color w:val="FFFFFF"/>
                            <w:sz w:val="18"/>
                            <w:szCs w:val="18"/>
                            <w:lang w:val="en-US"/>
                          </w:rPr>
                          <w:t xml:space="preserve"> </w:t>
                        </w:r>
                        <w:r w:rsidRPr="000E233C">
                          <w:rPr>
                            <w:rFonts w:ascii="Calibri" w:hAnsi="Calibri" w:cs="Calibri"/>
                            <w:color w:val="FFFFFF"/>
                            <w:sz w:val="18"/>
                            <w:szCs w:val="18"/>
                            <w:lang w:val="en-US"/>
                          </w:rPr>
                          <w:t>FSA (5%)</w:t>
                        </w:r>
                      </w:p>
                      <w:p w14:paraId="6B5A732D" w14:textId="77777777" w:rsidR="00972546" w:rsidRPr="000E233C" w:rsidRDefault="00972546" w:rsidP="00E76739">
                        <w:pPr>
                          <w:pStyle w:val="NormalWeb"/>
                          <w:spacing w:after="0"/>
                          <w:rPr>
                            <w:rFonts w:ascii="Calibri" w:hAnsi="Calibri" w:cs="Calibri"/>
                            <w:color w:val="FFFFFF"/>
                            <w:sz w:val="18"/>
                            <w:szCs w:val="18"/>
                            <w:lang w:val="en-US"/>
                          </w:rPr>
                        </w:pPr>
                        <w:r w:rsidRPr="000E233C">
                          <w:rPr>
                            <w:rFonts w:ascii="Calibri" w:hAnsi="Calibri" w:cs="Calibri"/>
                            <w:color w:val="FFFFFF"/>
                            <w:sz w:val="18"/>
                            <w:szCs w:val="18"/>
                            <w:lang w:val="en-US"/>
                          </w:rPr>
                          <w:t>- Tax Administration (10%)</w:t>
                        </w:r>
                      </w:p>
                      <w:p w14:paraId="080180D5" w14:textId="77777777" w:rsidR="00972546" w:rsidRPr="000E233C" w:rsidRDefault="00972546" w:rsidP="00E76739">
                        <w:pPr>
                          <w:pStyle w:val="NormalWeb"/>
                          <w:spacing w:after="0"/>
                          <w:jc w:val="center"/>
                          <w:rPr>
                            <w:lang w:val="en-US"/>
                          </w:rPr>
                        </w:pPr>
                      </w:p>
                    </w:txbxContent>
                  </v:textbox>
                </v:roundrect>
                <v:shape id="Gebogen verbindingslijn 58" o:spid="_x0000_s1045" type="#_x0000_t33" style="position:absolute;left:1522411;top:596313;width:602212;height:161002;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qV0ccAAADcAAAADwAAAGRycy9kb3ducmV2LnhtbESPS2vDMBCE74X+B7GFXEIsJy4mda2E&#10;JBBoDy3kcchxsdYPbK2MpSTOv68KhR6HmfmGydej6cSNBtdYVjCPYhDEhdUNVwrOp/1sCcJ5ZI2d&#10;ZVLwIAfr1fNTjpm2dz7Q7egrESDsMlRQe99nUrqiJoMusj1x8Eo7GPRBDpXUA94D3HRyEcepNNhw&#10;WKixp11NRXu8GgXbt/TbXZKz/Zq+6u10U7a7w2es1ORl3LyD8DT6//Bf+0MrSJIUfs+EIyB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upXRxwAAANwAAAAPAAAAAAAA&#10;AAAAAAAAAKECAABkcnMvZG93bnJldi54bWxQSwUGAAAAAAQABAD5AAAAlQMAAAAA&#10;" strokecolor="#4579b8">
                  <v:stroke endarrow="open"/>
                </v:shape>
                <v:shapetype id="_x0000_t202" coordsize="21600,21600" o:spt="202" path="m0,0l0,21600,21600,21600,21600,0xe">
                  <v:stroke joinstyle="miter"/>
                  <v:path gradientshapeok="t" o:connecttype="rect"/>
                </v:shapetype>
                <v:shape id="Tekstvak 29" o:spid="_x0000_s1046" type="#_x0000_t202" style="position:absolute;left:2009719;top:1499831;width:838208;height:2756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1TYrxwAA&#10;ANwAAAAPAAAAZHJzL2Rvd25yZXYueG1sRI9Ba8JAFITvQv/D8gq96aYGW4muIgGpSHuI9dLbM/tM&#10;QrNv0+w2if31riD0OMzMN8xyPZhadNS6yrKC50kEgji3uuJCwfFzO56DcB5ZY22ZFFzIwXr1MFpi&#10;om3PGXUHX4gAYZeggtL7JpHS5SUZdBPbEAfvbFuDPsi2kLrFPsBNLadR9CINVhwWSmwoLSn/Pvwa&#10;Bft0+4HZaWrmf3X69n7eND/Hr5lST4/DZgHC0+D/w/f2TiuI41e4nQlHQK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dU2K8cAAADcAAAADwAAAAAAAAAAAAAAAACXAgAAZHJz&#10;L2Rvd25yZXYueG1sUEsFBgAAAAAEAAQA9QAAAIsDAAAAAA==&#10;" filled="f" stroked="f" strokeweight=".5pt">
                  <v:textbox>
                    <w:txbxContent>
                      <w:p w14:paraId="007E7279"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v:textbox>
                </v:shape>
                <w10:anchorlock/>
              </v:group>
            </w:pict>
          </mc:Fallback>
        </mc:AlternateContent>
      </w:r>
    </w:p>
    <w:p w14:paraId="1A565821" w14:textId="52D68B79" w:rsidR="00E76739" w:rsidRPr="00E76739" w:rsidRDefault="00E76739" w:rsidP="00E76739">
      <w:pPr>
        <w:spacing w:after="0" w:line="240" w:lineRule="auto"/>
        <w:jc w:val="both"/>
        <w:rPr>
          <w:rFonts w:ascii="Calibri" w:eastAsia="Times New Roman" w:hAnsi="Calibri" w:cs="Calibri"/>
          <w:i/>
          <w:lang w:val="en-GB" w:eastAsia="zh-CN"/>
        </w:rPr>
      </w:pPr>
      <w:r w:rsidRPr="00E76739">
        <w:rPr>
          <w:rFonts w:ascii="Calibri" w:eastAsia="Times New Roman" w:hAnsi="Calibri" w:cs="Calibri"/>
          <w:i/>
          <w:lang w:val="en-GB" w:eastAsia="zh-CN"/>
        </w:rPr>
        <w:t xml:space="preserve">Legend: The blue arrows represent the information that flows from one agency to another (normally that is a report/case unless it is specified that it only concerns a copy) and the red dotted arrow illustrate supervision and </w:t>
      </w:r>
      <w:r w:rsidR="00424AEF" w:rsidRPr="00E76739">
        <w:rPr>
          <w:rFonts w:ascii="Calibri" w:eastAsia="Times New Roman" w:hAnsi="Calibri" w:cs="Calibri"/>
          <w:i/>
          <w:lang w:val="en-GB" w:eastAsia="zh-CN"/>
        </w:rPr>
        <w:t>case</w:t>
      </w:r>
      <w:r w:rsidR="00424AEF">
        <w:rPr>
          <w:rFonts w:ascii="Calibri" w:eastAsia="Times New Roman" w:hAnsi="Calibri" w:cs="Calibri"/>
          <w:i/>
          <w:lang w:val="en-GB" w:eastAsia="zh-CN"/>
        </w:rPr>
        <w:t>-</w:t>
      </w:r>
      <w:r w:rsidRPr="00E76739">
        <w:rPr>
          <w:rFonts w:ascii="Calibri" w:eastAsia="Times New Roman" w:hAnsi="Calibri" w:cs="Calibri"/>
          <w:i/>
          <w:lang w:val="en-GB" w:eastAsia="zh-CN"/>
        </w:rPr>
        <w:t xml:space="preserve">specific feedback. We have only looked at feedback directed to the FIU, and therefore this </w:t>
      </w:r>
      <w:r w:rsidR="002A2B83">
        <w:rPr>
          <w:rFonts w:ascii="Calibri" w:eastAsia="Times New Roman" w:hAnsi="Calibri" w:cs="Calibri"/>
          <w:i/>
          <w:lang w:val="en-GB" w:eastAsia="zh-CN"/>
        </w:rPr>
        <w:t>figure</w:t>
      </w:r>
      <w:r w:rsidR="002A2B83" w:rsidRPr="00E76739">
        <w:rPr>
          <w:rFonts w:ascii="Calibri" w:eastAsia="Times New Roman" w:hAnsi="Calibri" w:cs="Calibri"/>
          <w:i/>
          <w:lang w:val="en-GB" w:eastAsia="zh-CN"/>
        </w:rPr>
        <w:t xml:space="preserve"> </w:t>
      </w:r>
      <w:r w:rsidRPr="00E76739">
        <w:rPr>
          <w:rFonts w:ascii="Calibri" w:eastAsia="Times New Roman" w:hAnsi="Calibri" w:cs="Calibri"/>
          <w:i/>
          <w:lang w:val="en-GB" w:eastAsia="zh-CN"/>
        </w:rPr>
        <w:t>excludes all other feedback</w:t>
      </w:r>
      <w:r w:rsidR="002A2B83">
        <w:rPr>
          <w:rFonts w:ascii="Calibri" w:eastAsia="Times New Roman" w:hAnsi="Calibri" w:cs="Calibri"/>
          <w:i/>
          <w:lang w:val="en-GB" w:eastAsia="zh-CN"/>
        </w:rPr>
        <w:t>,</w:t>
      </w:r>
      <w:r w:rsidRPr="00E76739">
        <w:rPr>
          <w:rFonts w:ascii="Calibri" w:eastAsia="Times New Roman" w:hAnsi="Calibri" w:cs="Calibri"/>
          <w:i/>
          <w:lang w:val="en-GB" w:eastAsia="zh-CN"/>
        </w:rPr>
        <w:t xml:space="preserve"> i.e. between court and prosecution. </w:t>
      </w:r>
    </w:p>
    <w:p w14:paraId="7D7F9944" w14:textId="77777777" w:rsidR="00E76739" w:rsidRPr="00E76739" w:rsidRDefault="00E76739" w:rsidP="00E76739">
      <w:pPr>
        <w:spacing w:after="0" w:line="240" w:lineRule="auto"/>
        <w:jc w:val="both"/>
        <w:rPr>
          <w:rFonts w:ascii="Verdana" w:eastAsia="SimSun" w:hAnsi="Verdana" w:cs="Times New Roman"/>
          <w:b/>
          <w:lang w:val="en-GB" w:eastAsia="zh-CN"/>
        </w:rPr>
      </w:pPr>
      <w:r w:rsidRPr="00E76739">
        <w:rPr>
          <w:rFonts w:ascii="Verdana" w:eastAsia="SimSun" w:hAnsi="Verdana" w:cs="Times New Roman"/>
          <w:b/>
          <w:lang w:val="en-GB" w:eastAsia="zh-CN"/>
        </w:rPr>
        <w:br/>
      </w:r>
    </w:p>
    <w:p w14:paraId="2327B726" w14:textId="77777777" w:rsidR="00E76739" w:rsidRPr="00E76739" w:rsidRDefault="00BA07A1" w:rsidP="00E76739">
      <w:pPr>
        <w:spacing w:after="0" w:line="240" w:lineRule="auto"/>
        <w:jc w:val="both"/>
        <w:rPr>
          <w:rFonts w:ascii="Calibri" w:eastAsia="SimSun" w:hAnsi="Calibri" w:cs="Times New Roman"/>
          <w:b/>
          <w:bCs/>
          <w:lang w:val="en-GB" w:eastAsia="zh-CN"/>
        </w:rPr>
      </w:pPr>
      <w:bookmarkStart w:id="23" w:name="_Toc341109083"/>
      <w:bookmarkStart w:id="24" w:name="_Toc341266523"/>
      <w:bookmarkStart w:id="25" w:name="_Toc341269278"/>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.5.7 </w:t>
      </w:r>
      <w:r w:rsidR="00E76739" w:rsidRPr="00E76739">
        <w:rPr>
          <w:rFonts w:ascii="Calibri" w:eastAsia="SimSun" w:hAnsi="Calibri" w:cs="Times New Roman"/>
          <w:b/>
          <w:bCs/>
          <w:lang w:val="en-GB" w:eastAsia="zh-CN"/>
        </w:rPr>
        <w:tab/>
        <w:t xml:space="preserve">Estonia </w:t>
      </w:r>
      <w:bookmarkEnd w:id="23"/>
      <w:bookmarkEnd w:id="24"/>
      <w:bookmarkEnd w:id="25"/>
    </w:p>
    <w:p w14:paraId="45A9E095"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21197B50" w14:textId="385B9F3E" w:rsidR="00E76739" w:rsidRPr="00E76739" w:rsidRDefault="00E76739" w:rsidP="00E76739">
      <w:pPr>
        <w:spacing w:after="0" w:line="240" w:lineRule="auto"/>
        <w:jc w:val="both"/>
        <w:rPr>
          <w:rFonts w:ascii="Calibri" w:eastAsia="Calibri" w:hAnsi="Calibri" w:cs="Calibri"/>
          <w:lang w:val="en-GB" w:eastAsia="zh-CN"/>
        </w:rPr>
      </w:pPr>
      <w:r w:rsidRPr="00E76739">
        <w:rPr>
          <w:rFonts w:ascii="Calibri" w:eastAsia="Calibri" w:hAnsi="Calibri" w:cs="Calibri"/>
          <w:lang w:val="en-GB" w:eastAsia="zh-CN"/>
        </w:rPr>
        <w:t xml:space="preserve">In Estonia, the FIU forwards the information to the investigative bodies after a full analysis </w:t>
      </w:r>
      <w:r w:rsidR="00424AEF">
        <w:rPr>
          <w:rFonts w:ascii="Calibri" w:eastAsia="Calibri" w:hAnsi="Calibri" w:cs="Calibri"/>
          <w:lang w:val="en-GB" w:eastAsia="zh-CN"/>
        </w:rPr>
        <w:t>ha</w:t>
      </w:r>
      <w:r w:rsidR="00424AEF" w:rsidRPr="00E76739">
        <w:rPr>
          <w:rFonts w:ascii="Calibri" w:eastAsia="Calibri" w:hAnsi="Calibri" w:cs="Calibri"/>
          <w:lang w:val="en-GB" w:eastAsia="zh-CN"/>
        </w:rPr>
        <w:t xml:space="preserve">s </w:t>
      </w:r>
      <w:r w:rsidR="00424AEF">
        <w:rPr>
          <w:rFonts w:ascii="Calibri" w:eastAsia="Calibri" w:hAnsi="Calibri" w:cs="Calibri"/>
          <w:lang w:val="en-GB" w:eastAsia="zh-CN"/>
        </w:rPr>
        <w:t xml:space="preserve">been </w:t>
      </w:r>
      <w:r w:rsidRPr="00E76739">
        <w:rPr>
          <w:rFonts w:ascii="Calibri" w:eastAsia="Calibri" w:hAnsi="Calibri" w:cs="Calibri"/>
          <w:lang w:val="en-GB" w:eastAsia="zh-CN"/>
        </w:rPr>
        <w:t xml:space="preserve">done on the report. The FIU decides which authority to forward it to. According to the Estonian representative, good cooperation and communication exist between the FIU and the prosecution’s office. The FIU receives feedback from </w:t>
      </w:r>
      <w:r w:rsidR="00424AEF" w:rsidRPr="00424AEF">
        <w:rPr>
          <w:rFonts w:ascii="Calibri" w:eastAsia="Calibri" w:hAnsi="Calibri" w:cs="Calibri"/>
          <w:lang w:val="en-GB" w:eastAsia="zh-CN"/>
        </w:rPr>
        <w:t xml:space="preserve">both </w:t>
      </w:r>
      <w:r w:rsidRPr="00E76739">
        <w:rPr>
          <w:rFonts w:ascii="Calibri" w:eastAsia="Calibri" w:hAnsi="Calibri" w:cs="Calibri"/>
          <w:lang w:val="en-GB" w:eastAsia="zh-CN"/>
        </w:rPr>
        <w:t>the PPO and police. There is a database in which the FIU can check for itself the status of a case. In every case, the PPO and/or police should inform the FIU when they open an investigation or decide not to follow up the report of the FIU.</w:t>
      </w:r>
    </w:p>
    <w:p w14:paraId="699C74F7" w14:textId="77777777" w:rsidR="00E76739" w:rsidRPr="00E76739" w:rsidRDefault="00E76739" w:rsidP="00E76739">
      <w:pPr>
        <w:spacing w:after="0" w:line="240" w:lineRule="auto"/>
        <w:jc w:val="both"/>
        <w:rPr>
          <w:rFonts w:ascii="Calibri" w:eastAsia="SimSun" w:hAnsi="Calibri" w:cs="Times New Roman"/>
          <w:b/>
          <w:lang w:val="en-GB" w:eastAsia="zh-CN"/>
        </w:rPr>
      </w:pPr>
    </w:p>
    <w:p w14:paraId="32401DD2" w14:textId="2DF8E56A" w:rsidR="00E76739" w:rsidRPr="00E76739" w:rsidRDefault="00E76739" w:rsidP="00E76739">
      <w:pPr>
        <w:spacing w:after="0" w:line="240" w:lineRule="auto"/>
        <w:jc w:val="center"/>
        <w:rPr>
          <w:rFonts w:ascii="Calibri" w:eastAsia="SimSun" w:hAnsi="Calibri" w:cs="Times New Roman"/>
          <w:b/>
          <w:lang w:val="en-GB" w:eastAsia="zh-CN"/>
        </w:rPr>
      </w:pPr>
      <w:bookmarkStart w:id="26" w:name="_Toc350517098"/>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FB3703">
        <w:rPr>
          <w:rFonts w:ascii="Calibri" w:eastAsia="SimSun" w:hAnsi="Calibri" w:cs="Times New Roman"/>
          <w:b/>
          <w:lang w:val="en-GB" w:eastAsia="zh-CN"/>
        </w:rPr>
        <w:t>11</w:t>
      </w:r>
      <w:r w:rsidRPr="00E76739">
        <w:rPr>
          <w:rFonts w:ascii="Calibri" w:eastAsia="SimSun" w:hAnsi="Calibri" w:cs="Times New Roman"/>
          <w:b/>
          <w:lang w:val="en-GB" w:eastAsia="zh-CN"/>
        </w:rPr>
        <w:t>: AML/CTF Information flows in Estonia</w:t>
      </w:r>
      <w:bookmarkEnd w:id="26"/>
    </w:p>
    <w:p w14:paraId="60C4BEF4" w14:textId="77777777" w:rsidR="00E76739" w:rsidRPr="00E76739" w:rsidRDefault="00E76739" w:rsidP="00E76739">
      <w:pPr>
        <w:spacing w:after="0" w:line="240" w:lineRule="auto"/>
        <w:jc w:val="both"/>
        <w:rPr>
          <w:rFonts w:ascii="Calibri" w:eastAsia="SimSun" w:hAnsi="Calibri" w:cs="Times New Roman"/>
          <w:b/>
          <w:lang w:val="en-GB" w:eastAsia="zh-CN"/>
        </w:rPr>
      </w:pPr>
    </w:p>
    <w:p w14:paraId="76DE8349" w14:textId="77777777" w:rsidR="00E76739" w:rsidRPr="00E76739" w:rsidRDefault="00C9097D" w:rsidP="00E76739">
      <w:pPr>
        <w:spacing w:after="0" w:line="240" w:lineRule="auto"/>
        <w:jc w:val="both"/>
        <w:rPr>
          <w:rFonts w:ascii="Calibri" w:eastAsia="Times New Roman" w:hAnsi="Calibri" w:cs="Calibri"/>
          <w:lang w:val="en-GB" w:eastAsia="zh-CN"/>
        </w:rPr>
      </w:pPr>
      <w:r>
        <w:rPr>
          <w:rFonts w:ascii="Verdana" w:eastAsia="SimSun" w:hAnsi="Verdana" w:cs="Times New Roman"/>
          <w:noProof/>
          <w:lang w:val="en-US" w:eastAsia="en-US"/>
        </w:rPr>
        <mc:AlternateContent>
          <mc:Choice Requires="wpc">
            <w:drawing>
              <wp:inline distT="0" distB="0" distL="0" distR="0" wp14:anchorId="7991307F" wp14:editId="51FE6262">
                <wp:extent cx="5915025" cy="2359025"/>
                <wp:effectExtent l="0" t="0" r="19050" b="3175"/>
                <wp:docPr id="354" name="Canvas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6" name="Afgeronde rechthoek 14"/>
                        <wps:cNvSpPr>
                          <a:spLocks noChangeArrowheads="1"/>
                        </wps:cNvSpPr>
                        <wps:spPr bwMode="auto">
                          <a:xfrm>
                            <a:off x="47600" y="112201"/>
                            <a:ext cx="981104" cy="533406"/>
                          </a:xfrm>
                          <a:prstGeom prst="roundRect">
                            <a:avLst>
                              <a:gd name="adj" fmla="val 16667"/>
                            </a:avLst>
                          </a:prstGeom>
                          <a:solidFill>
                            <a:srgbClr val="4F81BD"/>
                          </a:solidFill>
                          <a:ln w="25400">
                            <a:solidFill>
                              <a:srgbClr val="243F60"/>
                            </a:solidFill>
                            <a:round/>
                            <a:headEnd/>
                            <a:tailEnd/>
                          </a:ln>
                        </wps:spPr>
                        <wps:txbx>
                          <w:txbxContent>
                            <w:p w14:paraId="54D91191" w14:textId="1DB64D18" w:rsidR="00972546" w:rsidRDefault="00972546" w:rsidP="00E76739">
                              <w:pPr>
                                <w:jc w:val="center"/>
                                <w:rPr>
                                  <w:color w:val="FFFFFF"/>
                                </w:rPr>
                              </w:pPr>
                              <w:r>
                                <w:rPr>
                                  <w:color w:val="FFFFFF"/>
                                </w:rPr>
                                <w:t>Supervised Entities</w:t>
                              </w:r>
                            </w:p>
                          </w:txbxContent>
                        </wps:txbx>
                        <wps:bodyPr rot="0" vert="horz" wrap="square" lIns="91440" tIns="45720" rIns="91440" bIns="45720" anchor="ctr" anchorCtr="0" upright="1">
                          <a:noAutofit/>
                        </wps:bodyPr>
                      </wps:wsp>
                      <wps:wsp>
                        <wps:cNvPr id="297" name="Afgeronde rechthoek 17"/>
                        <wps:cNvSpPr>
                          <a:spLocks noChangeArrowheads="1"/>
                        </wps:cNvSpPr>
                        <wps:spPr bwMode="auto">
                          <a:xfrm>
                            <a:off x="47600" y="777908"/>
                            <a:ext cx="981104" cy="533406"/>
                          </a:xfrm>
                          <a:prstGeom prst="roundRect">
                            <a:avLst>
                              <a:gd name="adj" fmla="val 16667"/>
                            </a:avLst>
                          </a:prstGeom>
                          <a:solidFill>
                            <a:srgbClr val="4F81BD"/>
                          </a:solidFill>
                          <a:ln w="25400">
                            <a:solidFill>
                              <a:srgbClr val="243F60"/>
                            </a:solidFill>
                            <a:round/>
                            <a:headEnd/>
                            <a:tailEnd/>
                          </a:ln>
                        </wps:spPr>
                        <wps:txbx>
                          <w:txbxContent>
                            <w:p w14:paraId="265A9579"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wps:txbx>
                        <wps:bodyPr rot="0" vert="horz" wrap="square" lIns="91440" tIns="45720" rIns="91440" bIns="45720" anchor="ctr" anchorCtr="0" upright="1">
                          <a:noAutofit/>
                        </wps:bodyPr>
                      </wps:wsp>
                      <wps:wsp>
                        <wps:cNvPr id="298" name="Afgeronde rechthoek 18"/>
                        <wps:cNvSpPr>
                          <a:spLocks noChangeArrowheads="1"/>
                        </wps:cNvSpPr>
                        <wps:spPr bwMode="auto">
                          <a:xfrm>
                            <a:off x="1257305" y="387404"/>
                            <a:ext cx="971504" cy="533406"/>
                          </a:xfrm>
                          <a:prstGeom prst="roundRect">
                            <a:avLst>
                              <a:gd name="adj" fmla="val 16667"/>
                            </a:avLst>
                          </a:prstGeom>
                          <a:solidFill>
                            <a:srgbClr val="4F81BD"/>
                          </a:solidFill>
                          <a:ln w="25400">
                            <a:solidFill>
                              <a:srgbClr val="243F60"/>
                            </a:solidFill>
                            <a:round/>
                            <a:headEnd/>
                            <a:tailEnd/>
                          </a:ln>
                        </wps:spPr>
                        <wps:txbx>
                          <w:txbxContent>
                            <w:p w14:paraId="333C78E8"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wps:txbx>
                        <wps:bodyPr rot="0" vert="horz" wrap="square" lIns="91440" tIns="45720" rIns="91440" bIns="45720" anchor="ctr" anchorCtr="0" upright="1">
                          <a:noAutofit/>
                        </wps:bodyPr>
                      </wps:wsp>
                      <wps:wsp>
                        <wps:cNvPr id="299" name="Afgeronde rechthoek 19"/>
                        <wps:cNvSpPr>
                          <a:spLocks noChangeArrowheads="1"/>
                        </wps:cNvSpPr>
                        <wps:spPr bwMode="auto">
                          <a:xfrm>
                            <a:off x="2495511" y="387404"/>
                            <a:ext cx="971604" cy="533406"/>
                          </a:xfrm>
                          <a:prstGeom prst="roundRect">
                            <a:avLst>
                              <a:gd name="adj" fmla="val 16667"/>
                            </a:avLst>
                          </a:prstGeom>
                          <a:solidFill>
                            <a:srgbClr val="4F81BD"/>
                          </a:solidFill>
                          <a:ln w="25400">
                            <a:solidFill>
                              <a:srgbClr val="243F60"/>
                            </a:solidFill>
                            <a:round/>
                            <a:headEnd/>
                            <a:tailEnd/>
                          </a:ln>
                        </wps:spPr>
                        <wps:txbx>
                          <w:txbxContent>
                            <w:p w14:paraId="74BE8B1A"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LEAs</w:t>
                              </w:r>
                            </w:p>
                          </w:txbxContent>
                        </wps:txbx>
                        <wps:bodyPr rot="0" vert="horz" wrap="square" lIns="91440" tIns="45720" rIns="91440" bIns="45720" anchor="ctr" anchorCtr="0" upright="1">
                          <a:noAutofit/>
                        </wps:bodyPr>
                      </wps:wsp>
                      <wps:wsp>
                        <wps:cNvPr id="300" name="Afgeronde rechthoek 20"/>
                        <wps:cNvSpPr>
                          <a:spLocks noChangeArrowheads="1"/>
                        </wps:cNvSpPr>
                        <wps:spPr bwMode="auto">
                          <a:xfrm>
                            <a:off x="3751816" y="387404"/>
                            <a:ext cx="970904" cy="533406"/>
                          </a:xfrm>
                          <a:prstGeom prst="roundRect">
                            <a:avLst>
                              <a:gd name="adj" fmla="val 16667"/>
                            </a:avLst>
                          </a:prstGeom>
                          <a:solidFill>
                            <a:srgbClr val="4F81BD"/>
                          </a:solidFill>
                          <a:ln w="25400">
                            <a:solidFill>
                              <a:srgbClr val="243F60"/>
                            </a:solidFill>
                            <a:round/>
                            <a:headEnd/>
                            <a:tailEnd/>
                          </a:ln>
                        </wps:spPr>
                        <wps:txbx>
                          <w:txbxContent>
                            <w:p w14:paraId="7C7E51B0"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wps:txbx>
                        <wps:bodyPr rot="0" vert="horz" wrap="square" lIns="91440" tIns="45720" rIns="91440" bIns="45720" anchor="ctr" anchorCtr="0" upright="1">
                          <a:noAutofit/>
                        </wps:bodyPr>
                      </wps:wsp>
                      <wps:wsp>
                        <wps:cNvPr id="301" name="Afgeronde rechthoek 21"/>
                        <wps:cNvSpPr>
                          <a:spLocks noChangeArrowheads="1"/>
                        </wps:cNvSpPr>
                        <wps:spPr bwMode="auto">
                          <a:xfrm>
                            <a:off x="4944721" y="387404"/>
                            <a:ext cx="970304" cy="533406"/>
                          </a:xfrm>
                          <a:prstGeom prst="roundRect">
                            <a:avLst>
                              <a:gd name="adj" fmla="val 16667"/>
                            </a:avLst>
                          </a:prstGeom>
                          <a:solidFill>
                            <a:srgbClr val="4F81BD"/>
                          </a:solidFill>
                          <a:ln w="25400">
                            <a:solidFill>
                              <a:srgbClr val="243F60"/>
                            </a:solidFill>
                            <a:round/>
                            <a:headEnd/>
                            <a:tailEnd/>
                          </a:ln>
                        </wps:spPr>
                        <wps:txbx>
                          <w:txbxContent>
                            <w:p w14:paraId="3FAC1A7C"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wps:txbx>
                        <wps:bodyPr rot="0" vert="horz" wrap="square" lIns="91440" tIns="45720" rIns="91440" bIns="45720" anchor="ctr" anchorCtr="0" upright="1">
                          <a:noAutofit/>
                        </wps:bodyPr>
                      </wps:wsp>
                      <wps:wsp>
                        <wps:cNvPr id="302" name="Gebogen verbindingslijn 15"/>
                        <wps:cNvCnPr>
                          <a:cxnSpLocks noChangeShapeType="1"/>
                        </wps:cNvCnPr>
                        <wps:spPr bwMode="auto">
                          <a:xfrm rot="16200000" flipH="1">
                            <a:off x="859503" y="324206"/>
                            <a:ext cx="76201" cy="719003"/>
                          </a:xfrm>
                          <a:prstGeom prst="bentConnector2">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303" name="Gebogen verbindingslijn 16"/>
                        <wps:cNvCnPr>
                          <a:cxnSpLocks noChangeShapeType="1"/>
                        </wps:cNvCnPr>
                        <wps:spPr bwMode="auto">
                          <a:xfrm rot="5400000" flipH="1" flipV="1">
                            <a:off x="869503" y="390106"/>
                            <a:ext cx="56201" cy="718903"/>
                          </a:xfrm>
                          <a:prstGeom prst="bentConnector2">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304" name="Rechte verbindingslijn met pijl 23"/>
                        <wps:cNvCnPr>
                          <a:cxnSpLocks noChangeShapeType="1"/>
                        </wps:cNvCnPr>
                        <wps:spPr bwMode="auto">
                          <a:xfrm>
                            <a:off x="2228809" y="654107"/>
                            <a:ext cx="266701"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5" name="Rechte verbindingslijn 25"/>
                        <wps:cNvCnPr/>
                        <wps:spPr bwMode="auto">
                          <a:xfrm>
                            <a:off x="1742907" y="920810"/>
                            <a:ext cx="0" cy="286703"/>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wps:wsp>
                        <wps:cNvPr id="306" name="Gebogen verbindingslijn 26"/>
                        <wps:cNvCnPr>
                          <a:cxnSpLocks noChangeShapeType="1"/>
                        </wps:cNvCnPr>
                        <wps:spPr bwMode="auto">
                          <a:xfrm flipV="1">
                            <a:off x="1742907" y="920810"/>
                            <a:ext cx="2494411" cy="286703"/>
                          </a:xfrm>
                          <a:prstGeom prst="bentConnector2">
                            <a:avLst/>
                          </a:prstGeom>
                          <a:noFill/>
                          <a:ln w="9525">
                            <a:solidFill>
                              <a:srgbClr val="4579B8"/>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307" name="Rechte verbindingslijn met pijl 27"/>
                        <wps:cNvCnPr>
                          <a:cxnSpLocks noChangeShapeType="1"/>
                        </wps:cNvCnPr>
                        <wps:spPr bwMode="auto">
                          <a:xfrm>
                            <a:off x="3467115" y="654107"/>
                            <a:ext cx="284701"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8" name="Rechte verbindingslijn met pijl 28"/>
                        <wps:cNvCnPr>
                          <a:cxnSpLocks noChangeShapeType="1"/>
                        </wps:cNvCnPr>
                        <wps:spPr bwMode="auto">
                          <a:xfrm>
                            <a:off x="4722720" y="654107"/>
                            <a:ext cx="222001"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9" name="Tekstvak 29"/>
                        <wps:cNvSpPr txBox="1">
                          <a:spLocks noChangeArrowheads="1"/>
                        </wps:cNvSpPr>
                        <wps:spPr bwMode="auto">
                          <a:xfrm>
                            <a:off x="3331914" y="109001"/>
                            <a:ext cx="839004" cy="27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B35C7A" w14:textId="77777777" w:rsidR="00972546" w:rsidRDefault="00972546" w:rsidP="00E76739">
                              <w:pPr>
                                <w:rPr>
                                  <w:sz w:val="18"/>
                                  <w:szCs w:val="18"/>
                                </w:rPr>
                              </w:pPr>
                              <w:r>
                                <w:rPr>
                                  <w:sz w:val="18"/>
                                  <w:szCs w:val="18"/>
                                </w:rPr>
                                <w:t>feedback</w:t>
                              </w:r>
                            </w:p>
                          </w:txbxContent>
                        </wps:txbx>
                        <wps:bodyPr rot="0" vert="horz" wrap="square" lIns="91440" tIns="45720" rIns="91440" bIns="45720" anchor="t" anchorCtr="0" upright="1">
                          <a:noAutofit/>
                        </wps:bodyPr>
                      </wps:wsp>
                      <wps:wsp>
                        <wps:cNvPr id="310" name="Tekstvak 29"/>
                        <wps:cNvSpPr txBox="1">
                          <a:spLocks noChangeArrowheads="1"/>
                        </wps:cNvSpPr>
                        <wps:spPr bwMode="auto">
                          <a:xfrm>
                            <a:off x="1742407" y="1235013"/>
                            <a:ext cx="2867712" cy="1124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E09E19" w14:textId="77777777" w:rsidR="00972546" w:rsidRPr="000E233C" w:rsidRDefault="00972546" w:rsidP="00E76739">
                              <w:pPr>
                                <w:pStyle w:val="NormalWeb"/>
                                <w:spacing w:after="0" w:line="240" w:lineRule="auto"/>
                                <w:rPr>
                                  <w:rFonts w:ascii="Calibri" w:hAnsi="Calibri" w:cs="Calibri"/>
                                  <w:sz w:val="18"/>
                                  <w:szCs w:val="18"/>
                                  <w:lang w:val="en-US"/>
                                </w:rPr>
                              </w:pPr>
                              <w:r w:rsidRPr="000E233C">
                                <w:rPr>
                                  <w:rFonts w:ascii="Calibri" w:hAnsi="Calibri" w:cs="Calibri"/>
                                  <w:sz w:val="18"/>
                                  <w:szCs w:val="18"/>
                                  <w:lang w:val="en-US"/>
                                </w:rPr>
                                <w:t>PPO decides which LEA investigates (filtering):</w:t>
                              </w:r>
                            </w:p>
                            <w:p w14:paraId="3D1E03F1" w14:textId="77777777" w:rsidR="00972546" w:rsidRDefault="00972546" w:rsidP="00E76739">
                              <w:pPr>
                                <w:pStyle w:val="NormalWeb"/>
                                <w:numPr>
                                  <w:ilvl w:val="0"/>
                                  <w:numId w:val="1"/>
                                </w:numPr>
                                <w:spacing w:after="0" w:line="240" w:lineRule="auto"/>
                                <w:jc w:val="both"/>
                                <w:rPr>
                                  <w:rFonts w:ascii="Calibri" w:hAnsi="Calibri" w:cs="Calibri"/>
                                  <w:b/>
                                </w:rPr>
                              </w:pPr>
                              <w:r w:rsidRPr="009A0E21">
                                <w:rPr>
                                  <w:rFonts w:ascii="Calibri" w:hAnsi="Calibri" w:cs="Calibri"/>
                                  <w:b/>
                                  <w:sz w:val="18"/>
                                  <w:szCs w:val="18"/>
                                </w:rPr>
                                <w:t>Police and Border Guard Board</w:t>
                              </w:r>
                            </w:p>
                            <w:p w14:paraId="438A0CBE" w14:textId="77777777" w:rsidR="00972546" w:rsidRDefault="00972546" w:rsidP="00E76739">
                              <w:pPr>
                                <w:pStyle w:val="NormalWeb"/>
                                <w:numPr>
                                  <w:ilvl w:val="0"/>
                                  <w:numId w:val="1"/>
                                </w:numPr>
                                <w:spacing w:after="0" w:line="240" w:lineRule="auto"/>
                                <w:jc w:val="both"/>
                                <w:rPr>
                                  <w:rFonts w:ascii="Calibri" w:hAnsi="Calibri" w:cs="Calibri"/>
                                  <w:b/>
                                </w:rPr>
                              </w:pPr>
                              <w:r>
                                <w:rPr>
                                  <w:rFonts w:ascii="Calibri" w:hAnsi="Calibri" w:cs="Calibri"/>
                                  <w:b/>
                                  <w:sz w:val="18"/>
                                  <w:szCs w:val="18"/>
                                </w:rPr>
                                <w:t>Police</w:t>
                              </w:r>
                            </w:p>
                            <w:p w14:paraId="2217A6D9" w14:textId="77777777" w:rsidR="00972546" w:rsidRDefault="00972546" w:rsidP="00E76739">
                              <w:pPr>
                                <w:pStyle w:val="NormalWeb"/>
                                <w:numPr>
                                  <w:ilvl w:val="0"/>
                                  <w:numId w:val="1"/>
                                </w:numPr>
                                <w:spacing w:after="0" w:line="240" w:lineRule="auto"/>
                                <w:jc w:val="both"/>
                                <w:rPr>
                                  <w:rFonts w:ascii="Calibri" w:hAnsi="Calibri" w:cs="Calibri"/>
                                  <w:b/>
                                </w:rPr>
                              </w:pPr>
                              <w:r>
                                <w:rPr>
                                  <w:rFonts w:ascii="Calibri" w:hAnsi="Calibri" w:cs="Calibri"/>
                                  <w:b/>
                                  <w:sz w:val="18"/>
                                  <w:szCs w:val="18"/>
                                </w:rPr>
                                <w:t>Tax &amp;Customs</w:t>
                              </w:r>
                            </w:p>
                            <w:p w14:paraId="006893CD" w14:textId="77777777" w:rsidR="00972546" w:rsidRDefault="00972546" w:rsidP="00E76739">
                              <w:pPr>
                                <w:pStyle w:val="NormalWeb"/>
                                <w:numPr>
                                  <w:ilvl w:val="0"/>
                                  <w:numId w:val="1"/>
                                </w:numPr>
                                <w:spacing w:after="0" w:line="240" w:lineRule="auto"/>
                                <w:jc w:val="both"/>
                                <w:rPr>
                                  <w:rFonts w:ascii="Calibri" w:hAnsi="Calibri" w:cs="Calibri"/>
                                </w:rPr>
                              </w:pPr>
                              <w:r>
                                <w:rPr>
                                  <w:rFonts w:ascii="Calibri" w:hAnsi="Calibri" w:cs="Calibri"/>
                                  <w:sz w:val="18"/>
                                  <w:szCs w:val="18"/>
                                </w:rPr>
                                <w:t>Others</w:t>
                              </w:r>
                            </w:p>
                            <w:p w14:paraId="46FABF18" w14:textId="77777777" w:rsidR="00972546" w:rsidRDefault="00972546" w:rsidP="00E76739">
                              <w:pPr>
                                <w:pStyle w:val="NormalWeb"/>
                                <w:numPr>
                                  <w:ilvl w:val="0"/>
                                  <w:numId w:val="1"/>
                                </w:numPr>
                                <w:spacing w:after="0" w:line="240" w:lineRule="auto"/>
                                <w:jc w:val="both"/>
                                <w:rPr>
                                  <w:rFonts w:ascii="Calibri" w:hAnsi="Calibri" w:cs="Calibri"/>
                                </w:rPr>
                              </w:pPr>
                              <w:r>
                                <w:rPr>
                                  <w:rFonts w:ascii="Calibri" w:hAnsi="Calibri" w:cs="Calibri"/>
                                  <w:sz w:val="18"/>
                                  <w:szCs w:val="18"/>
                                </w:rPr>
                                <w:t>Security Police</w:t>
                              </w:r>
                            </w:p>
                          </w:txbxContent>
                        </wps:txbx>
                        <wps:bodyPr rot="0" vert="horz" wrap="square" lIns="91440" tIns="45720" rIns="91440" bIns="45720" anchor="t" anchorCtr="0" upright="1">
                          <a:noAutofit/>
                        </wps:bodyPr>
                      </wps:wsp>
                      <wps:wsp>
                        <wps:cNvPr id="312" name="Rechte verbindingslijn 59"/>
                        <wps:cNvCnPr/>
                        <wps:spPr bwMode="auto">
                          <a:xfrm flipV="1">
                            <a:off x="2981313" y="245403"/>
                            <a:ext cx="0" cy="142002"/>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13" name="Rechte verbindingslijn 513"/>
                        <wps:cNvCnPr/>
                        <wps:spPr bwMode="auto">
                          <a:xfrm flipH="1" flipV="1">
                            <a:off x="2009708" y="245303"/>
                            <a:ext cx="971604" cy="10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14" name="Rechte verbindingslijn met pijl 514"/>
                        <wps:cNvCnPr>
                          <a:cxnSpLocks noChangeShapeType="1"/>
                        </wps:cNvCnPr>
                        <wps:spPr bwMode="auto">
                          <a:xfrm>
                            <a:off x="2009708" y="245403"/>
                            <a:ext cx="0" cy="141902"/>
                          </a:xfrm>
                          <a:prstGeom prst="straightConnector1">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15" name="Rechte verbindingslijn 148"/>
                        <wps:cNvCnPr/>
                        <wps:spPr bwMode="auto">
                          <a:xfrm flipV="1">
                            <a:off x="4237318" y="118801"/>
                            <a:ext cx="0" cy="268603"/>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16" name="Rechte verbindingslijn 149"/>
                        <wps:cNvCnPr/>
                        <wps:spPr bwMode="auto">
                          <a:xfrm flipH="1" flipV="1">
                            <a:off x="1732407" y="112201"/>
                            <a:ext cx="2504911" cy="660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17" name="Rechte verbindingslijn met pijl 150"/>
                        <wps:cNvCnPr>
                          <a:cxnSpLocks noChangeShapeType="1"/>
                        </wps:cNvCnPr>
                        <wps:spPr bwMode="auto">
                          <a:xfrm>
                            <a:off x="1732407" y="112201"/>
                            <a:ext cx="10600" cy="275203"/>
                          </a:xfrm>
                          <a:prstGeom prst="straightConnector1">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7" o:spid="_x0000_s1047" style="width:465.75pt;height:185.75pt;mso-position-horizontal-relative:char;mso-position-vertical-relative:line" coordsize="5915025,2359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4a78HAADjQQAADgAAAGRycy9lMm9Eb2MueG1s7Fxdc9pGFH3vTP+DRu8Y7Wr1xQRnbDBtZ9I2&#10;06R9XyQBioVWlWSD2+l/7727khAEgU0CSSbyA5YArfbj3LvnnnvFq9frZaw9hlkeiWSokytD18LE&#10;F0GUzIf6n+8nPVfX8oInAY9FEg71pzDXX1//+MOrVToIqViIOAgzDRpJ8sEqHeqLokgH/X7uL8Il&#10;z69EGibw4UxkS17AaTbvBxlfQevLuE8Nw+6vRBakmfDDPId3x+pD/Vq2P5uFfvH7bJaHhRYPdehb&#10;IV8z+TrF1/71Kz6YZzxdRH7ZDX5CL5Y8SuCmdVNjXnDtIYs+amoZ+ZnIxay48sWyL2azyA/lGGA0&#10;xNgZzYgnjzyXg/FhdqoOwtFnbHc6x34nYhLFMcxGH1of4Hv4fwXrE8KbqxRWJ0/rdco/7f7vFjwN&#10;5bDygf/b49tMi4KhTj1b1xK+BJTczOZhJpIg1LLQXxQLEd5rhOFiYU/gknfp2wy7nadvhH+fa4kY&#10;LXgyD2+yTKwWIQ+ghwS/D8NpXIAnOVyqTVe/igBuxB8KIddtPcuW2CCsiLYe6syxDYDLE7RCKKyM&#10;wkm4LjQfPvVcQgymaz58bpkmM2x5Kz6oWkmzvPgpFEsND4Z6Jh6S4A/AorwVf3yTFxIrQTlcHnzQ&#10;tdkyBuQ98lgjtm07ZYvll/t8ULUphy3iKMAFkyfZfDqKMw0uhY5PXHI7Li/Om1+LE20Fk2wxGNjh&#10;NigzJ7Y0DbjtVhtyIDCrfIBzfJcE8rjgUayO4ftxUk46zrNar2I9XcsV9rBfuAZTETzBKmRC2SP4&#10;DzhYiOwfXVuBLQ71/O8HnoW6Fv+SwEp6hDE0XnnCLIfCSdb8ZNr8hCc+NDXU/SLTNXUyKpTJP6RZ&#10;NF/AvYicgkTcwPrPoqICiupXOQAA/MWQ7xxEvgTDFpAvgXzHcTzDxSXjgw75aMJyKk5CPpHm1EEf&#10;zK7Ece30gSAccPoSfxeCPqGWYxqWdPum6zBw8dvgd4jVuf2Xu30it88O/HvA7x0Ef71fXoDxUOZZ&#10;FqwUcp4W8Nsd+E8AP+1Iz166byLBbvf8wPHA+V7I85uORVwC4Ucr+A2vA/8J4DerRewYv4pDS9pj&#10;Qkh5CPz1jnkBz888xhx6yPMbZgf+E8BfCxYd+HfATyvw/xROxTxMUEGcRgmqhnkcfUg0YlWOAwxg&#10;lCixx18n73b0HqkkvX9KQcrZknvUJbh7tMs9Sn4gNsiI8AcCTBylP1fSQKkDuZZnGabaFyijSujZ&#10;hMMOXAyGgzqQQzwDvgl7FoggLTrQNEyKkUgSUIJERqUEIfUddVFT4KnlOBRUULfxLGrJC7b0mHxL&#10;+rEc71bGS7uyzTIqQGSNo+VQd9VgZVyzJ5LVCjmXHGU00GKG+jIMQIUJQdvFI9VRlHjkHJQ6FooD&#10;Uuv81zO8O/fOZT1G7bseM4KgdzMZsZ49IY41Nsej0Zj8h8MgbLCIgiBMUMSqdFfCnicrlgqwUkxr&#10;5bWesv5263JBoIvVf9lpKQtuFCploDg6hMzlhB8TsaU4UKslSG2x5EFntQRUBrcNQZrEX7smYW9M&#10;wgPNWvZvYxJW0yRcrzOJziQgQ7Mvu7E/CyCphjIJUMwXRfjR3rCEbE4afYg1WrPL820S6OnKvYBS&#10;6roGROzg7W2LEUPKshvkU1Dtq92gUs9bNoK8yDgK0fVmoPToi2wGBzX8zv9f2P+D2ngQ7LDrw7bU&#10;cP/lWTutaSCWOIx6AFNErEcNV6nQG8QC6UHqQl0A7hHqEkcJZuz44CIYRSo05vlC5bQCOMJZ4IOD&#10;2MXtW+WfOnJy9aI8c5snrvOxbeSEXoKcIC/fJSHHkA1qJmOoZj4X31+KmrchvaPsXy1lr3O1R/lJ&#10;M297Jure8PYmsx0CgXMrP3FZx0+6+PRlZLzOzh4FezNTe36wg2JJZR1IGxmHqp2OjHdizIsizzob&#10;+z68z4tHfq/R3RSsVqxvBZSAqYDtXOVnpmkSKHqSrpxA6gmQLPlvVYbjmvBeWYBGUYQ8wt6zrdoz&#10;RZRb5UbcUhpimqzo+voYdbsOOpF/pVbZ+FqrLqgColLBJJQZt9TrTWzX6bEZs3qeY7g9g3i3HiTA&#10;PTaebCuYbyAy+nQFE7VW27SOleZJha4SFxpj44PnE0a5/LUAi92vpNHq/z6JtC7i20jzF0lrFN9I&#10;DZ8JwXUZyn9p74HBESvDfkIBVES6h03cjwG/QyAJg9ERFLgyA06UV2gRrDoHAqW2nQNpFPp+ggOp&#10;RYPOgTTK3000yINaoNUkI0ixwWSPpDj3aScUytdNcAkYJ1IGWZ8d71CqggTSncYRt3AOVXAykVko&#10;5Y62trg2raRTBS+ZskTkHIap2m5eollvcu97U44ARCRhFWIxawrw2OxnnkPq2kQCqfyDW1mH2e8v&#10;zY6h1EHM1jlFa+sxo/PrGDvQbnfGUF5yxBmfP6n4mV1zl2y8bLIRteGDVkDYroh3GsNg1HRMovw1&#10;IZA035Evqryj7drHlIvOW3+H3rrOO7aIzoSdxoRldd9ehkEccxMy73nik8KDP16VT7Tx2dCOY3Sl&#10;fM2nl03y7LwgPEWG8GkQZCSzn7m6tZEYPAZuqOHD+leZKneso2JyxzO+2aJW+XA/PNgvhd7yVw/w&#10;pwqa53Dc/G2G6/8BAAD//wMAUEsDBBQABgAIAAAAIQAg5HVn3AAAAAUBAAAPAAAAZHJzL2Rvd25y&#10;ZXYueG1sTI9BS8NAEIXvgv9hGcGb3cRQtTGbUop6KoKtIL1Nk2kSmp0N2W2S/ntHL3oZ3vCG977J&#10;lpNt1UC9bxwbiGcRKOLClQ1XBj53r3dPoHxALrF1TAYu5GGZX19lmJZu5A8atqFSEsI+RQN1CF2q&#10;tS9qsuhnriMW7+h6i0HWvtJlj6OE21bfR9GDttiwNNTY0bqm4rQ9WwNvI46rJH4ZNqfj+rLfzd+/&#10;NjEZc3szrZ5BBZrC3zH84As65MJ0cGcuvWoNyCPhd4q3SOI5qIOB5FGEzjP9nz7/BgAA//8DAFBL&#10;AQItABQABgAIAAAAIQDkmcPA+wAAAOEBAAATAAAAAAAAAAAAAAAAAAAAAABbQ29udGVudF9UeXBl&#10;c10ueG1sUEsBAi0AFAAGAAgAAAAhACOyauHXAAAAlAEAAAsAAAAAAAAAAAAAAAAALAEAAF9yZWxz&#10;Ly5yZWxzUEsBAi0AFAAGAAgAAAAhABczOGu/BwAA40EAAA4AAAAAAAAAAAAAAAAALAIAAGRycy9l&#10;Mm9Eb2MueG1sUEsBAi0AFAAGAAgAAAAhACDkdWfcAAAABQEAAA8AAAAAAAAAAAAAAAAAFwoAAGRy&#10;cy9kb3ducmV2LnhtbFBLBQYAAAAABAAEAPMAAAAgCwAAAAA=&#10;">
                <v:shape id="_x0000_s1048" type="#_x0000_t75" style="position:absolute;width:5915025;height:2359025;visibility:visible;mso-wrap-style:square">
                  <v:fill o:detectmouseclick="t"/>
                  <v:path o:connecttype="none"/>
                </v:shape>
                <v:roundrect id="Afgeronde rechthoek 14" o:spid="_x0000_s1049" style="position:absolute;left:47600;top:112201;width:981104;height:53340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yjVxgAA&#10;ANwAAAAPAAAAZHJzL2Rvd25yZXYueG1sRI/dasJAFITvC77DcgTv6qaRSo2uIkKpUBH/wNtD9jSb&#10;Nns2ZrdJ+vZdodDLYWa+YRar3laipcaXjhU8jRMQxLnTJRcKLufXxxcQPiBrrByTgh/ysFoOHhaY&#10;adfxkdpTKESEsM9QgQmhzqT0uSGLfuxq4uh9uMZiiLIppG6wi3BbyTRJptJiyXHBYE0bQ/nX6dsq&#10;aK+3yXZtDm+7z3P3Xu2L5/S4r5UaDfv1HESgPvyH/9pbrSCdTeF+Jh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KyjVxgAAANwAAAAPAAAAAAAAAAAAAAAAAJcCAABkcnMv&#10;ZG93bnJldi54bWxQSwUGAAAAAAQABAD1AAAAigMAAAAA&#10;" fillcolor="#4f81bd" strokecolor="#243f60" strokeweight="2pt">
                  <v:textbox>
                    <w:txbxContent>
                      <w:p w14:paraId="54D91191" w14:textId="1DB64D18" w:rsidR="00972546" w:rsidRDefault="00972546" w:rsidP="00E76739">
                        <w:pPr>
                          <w:jc w:val="center"/>
                          <w:rPr>
                            <w:color w:val="FFFFFF"/>
                          </w:rPr>
                        </w:pPr>
                        <w:r>
                          <w:rPr>
                            <w:color w:val="FFFFFF"/>
                          </w:rPr>
                          <w:t>Supervised Entities</w:t>
                        </w:r>
                      </w:p>
                    </w:txbxContent>
                  </v:textbox>
                </v:roundrect>
                <v:roundrect id="Afgeronde rechthoek 17" o:spid="_x0000_s1050" style="position:absolute;left:47600;top:777908;width:981104;height:53340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41OxwAA&#10;ANwAAAAPAAAAZHJzL2Rvd25yZXYueG1sRI/dasJAFITvC77DcgTvdNNItU1dRQqlQkX8KfT2kD3N&#10;ps2eTbPbJL69Kwi9HGbmG2ax6m0lWmp86VjB/SQBQZw7XXKh4OP0On4E4QOyxsoxKTiTh9VycLfA&#10;TLuOD9QeQyEihH2GCkwIdSalzw1Z9BNXE0fvyzUWQ5RNIXWDXYTbSqZJMpMWS44LBmt6MZT/HP+s&#10;gvbzd7pZm/3b9vvUvVe74iE97GqlRsN+/QwiUB/+w7f2RitIn+ZwPROPgFx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GeNTscAAADcAAAADwAAAAAAAAAAAAAAAACXAgAAZHJz&#10;L2Rvd25yZXYueG1sUEsFBgAAAAAEAAQA9QAAAIsDAAAAAA==&#10;" fillcolor="#4f81bd" strokecolor="#243f60" strokeweight="2pt">
                  <v:textbox>
                    <w:txbxContent>
                      <w:p w14:paraId="265A9579"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v:textbox>
                </v:roundrect>
                <v:roundrect id="Afgeronde rechthoek 18" o:spid="_x0000_s1051" style="position:absolute;left:1257305;top:387404;width:971504;height:53340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k8wwAA&#10;ANwAAAAPAAAAZHJzL2Rvd25yZXYueG1sRE9ba8IwFH4f+B/CEXybqR3KVo0iwpigiJfBXg/NsenW&#10;nHRNbOu/Nw+DPX5898Wqt5VoqfGlYwWTcQKCOHe65ELB5+X9+RWED8gaK8ek4E4eVsvB0wIz7To+&#10;UXsOhYgh7DNUYEKoMyl9bsiiH7uaOHJX11gMETaF1A12MdxWMk2SmbRYcmwwWNPGUP5zvlkF7dfv&#10;y3Ztjh/770u3qw7FND0daqVGw349BxGoD//iP/dWK0jf4tp4Jh4B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Bk8wwAAANwAAAAPAAAAAAAAAAAAAAAAAJcCAABkcnMvZG93&#10;bnJldi54bWxQSwUGAAAAAAQABAD1AAAAhwMAAAAA&#10;" fillcolor="#4f81bd" strokecolor="#243f60" strokeweight="2pt">
                  <v:textbox>
                    <w:txbxContent>
                      <w:p w14:paraId="333C78E8"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v:textbox>
                </v:roundrect>
                <v:roundrect id="Afgeronde rechthoek 19" o:spid="_x0000_s1052" style="position:absolute;left:2495511;top:387404;width:971604;height:53340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LynxgAA&#10;ANwAAAAPAAAAZHJzL2Rvd25yZXYueG1sRI/dasJAFITvBd9hOYXe6aYpLRpdRYRSoUX8A28P2WM2&#10;bfZsmt0m6du7QsHLYWa+YebL3laipcaXjhU8jRMQxLnTJRcKTse30QSED8gaK8ek4I88LBfDwRwz&#10;7TreU3sIhYgQ9hkqMCHUmZQ+N2TRj11NHL2LayyGKJtC6ga7CLeVTJPkVVosOS4YrGltKP8+/FoF&#10;7fnnebMyu/fPr2P3UW2Ll3S/rZV6fOhXMxCB+nAP/7c3WkE6ncLtTDwCcn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tLynxgAAANwAAAAPAAAAAAAAAAAAAAAAAJcCAABkcnMv&#10;ZG93bnJldi54bWxQSwUGAAAAAAQABAD1AAAAigMAAAAA&#10;" fillcolor="#4f81bd" strokecolor="#243f60" strokeweight="2pt">
                  <v:textbox>
                    <w:txbxContent>
                      <w:p w14:paraId="74BE8B1A"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LEAs</w:t>
                        </w:r>
                      </w:p>
                    </w:txbxContent>
                  </v:textbox>
                </v:roundrect>
                <v:roundrect id="Afgeronde rechthoek 20" o:spid="_x0000_s1053" style="position:absolute;left:3751816;top:387404;width:970904;height:53340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Y8gwwAA&#10;ANwAAAAPAAAAZHJzL2Rvd25yZXYueG1sRE9da8IwFH0f+B/CFfY2U5WN0TUVEURBkamDvV6au6az&#10;ualN1nb/3jwIPh7Od7YYbC06an3lWMF0koAgLpyuuFTwdV6/vIPwAVlj7ZgU/JOHRT56yjDVrucj&#10;dadQihjCPkUFJoQmldIXhiz6iWuII/fjWoshwraUusU+httazpLkTVqsODYYbGhlqLic/qyC7vs6&#10;3y7N52b/e+539aF8nR0PjVLP42H5ASLQEB7iu3urFcyTOD+eiUdA5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ZY8gwwAAANwAAAAPAAAAAAAAAAAAAAAAAJcCAABkcnMvZG93&#10;bnJldi54bWxQSwUGAAAAAAQABAD1AAAAhwMAAAAA&#10;" fillcolor="#4f81bd" strokecolor="#243f60" strokeweight="2pt">
                  <v:textbox>
                    <w:txbxContent>
                      <w:p w14:paraId="7C7E51B0"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v:textbox>
                </v:roundrect>
                <v:roundrect id="Afgeronde rechthoek 21" o:spid="_x0000_s1054" style="position:absolute;left:4944721;top:387404;width:970304;height:53340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Sq7xgAA&#10;ANwAAAAPAAAAZHJzL2Rvd25yZXYueG1sRI9Ba8JAFITvBf/D8oTe6kbFUlI3QQSpUJGqhV4f2Wc2&#10;mn0bs9sk/ffdQsHjMDPfMMt8sLXoqPWVYwXTSQKCuHC64lLB52nz9ALCB2SNtWNS8EMe8mz0sMRU&#10;u54P1B1DKSKEfYoKTAhNKqUvDFn0E9cQR+/sWoshyraUusU+wm0tZ0nyLC1WHBcMNrQ2VFyP31ZB&#10;93Wbb1fm4213OfXv9b5czA77RqnH8bB6BRFoCPfwf3urFcyTKfydiUdA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KSq7xgAAANwAAAAPAAAAAAAAAAAAAAAAAJcCAABkcnMv&#10;ZG93bnJldi54bWxQSwUGAAAAAAQABAD1AAAAigMAAAAA&#10;" fillcolor="#4f81bd" strokecolor="#243f60" strokeweight="2pt">
                  <v:textbox>
                    <w:txbxContent>
                      <w:p w14:paraId="3FAC1A7C"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v:textbox>
                </v:roundrect>
                <v:shape id="Gebogen verbindingslijn 15" o:spid="_x0000_s1055" type="#_x0000_t33" style="position:absolute;left:859503;top:324206;width:76201;height:719003;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cNGcUAAADcAAAADwAAAGRycy9kb3ducmV2LnhtbESPwWrDMBBE74X8g9hAb43kFExxo4Q2&#10;YAiBHurk4ttibWxTa2UsJbbz9VGh0OMwM2+YzW6ynbjR4FvHGpKVAkFcOdNyreF8yl/eQPiAbLBz&#10;TBpm8rDbLp42mBk38jfdilCLCGGfoYYmhD6T0lcNWfQr1xNH7+IGiyHKoZZmwDHCbSfXSqXSYstx&#10;ocGe9g1VP8XVaihd7c3n5V7mqSpPSXoszNc0a/28nD7eQQSawn/4r30wGl7VGn7PxCMgt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VcNGcUAAADcAAAADwAAAAAAAAAA&#10;AAAAAAChAgAAZHJzL2Rvd25yZXYueG1sUEsFBgAAAAAEAAQA+QAAAJMDAAAAAA==&#10;" strokecolor="#4579b8">
                  <v:stroke endarrow="open"/>
                </v:shape>
                <v:shape id="Gebogen verbindingslijn 16" o:spid="_x0000_s1056" type="#_x0000_t33" style="position:absolute;left:869503;top:390106;width:56201;height:718903;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H89MYAAADcAAAADwAAAGRycy9kb3ducmV2LnhtbESPQWvCQBSE70L/w/IKvYjuthFpUzch&#10;CkJ7qKD14PGRfSYh2bchu9X477uFgsdhZr5hVvloO3GhwTeONTzPFQji0pmGKw3H7+3sFYQPyAY7&#10;x6ThRh7y7GGywtS4K+/pcgiViBD2KWqoQ+hTKX1Zk0U/dz1x9M5usBiiHCppBrxGuO3ki1JLabHh&#10;uFBjT5uayvbwYzWs35Y7f0qO7mu6MOtpcW43+0+l9dPjWLyDCDSGe/i//WE0JCqBvzPxCMjs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h/PTGAAAA3AAAAA8AAAAAAAAA&#10;AAAAAAAAoQIAAGRycy9kb3ducmV2LnhtbFBLBQYAAAAABAAEAPkAAACUAwAAAAA=&#10;" strokecolor="#4579b8">
                  <v:stroke endarrow="open"/>
                </v:shape>
                <v:shape id="Rechte verbindingslijn met pijl 23" o:spid="_x0000_s1057" type="#_x0000_t32" style="position:absolute;left:2228809;top:654107;width:26670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hpL8QAAADcAAAADwAAAGRycy9kb3ducmV2LnhtbESPT2sCMRTE7wW/Q3hCbzWxlaqrUayL&#10;IPTkHzw/Ns/N6uZl2URdv31TKPQ4zMxvmPmyc7W4UxsqzxqGAwWCuPCm4lLD8bB5m4AIEdlg7Zk0&#10;PCnActF7mWNm/IN3dN/HUiQIhww12BibTMpQWHIYBr4hTt7Ztw5jkm0pTYuPBHe1fFfqUzqsOC1Y&#10;bGhtqbjub07DtlOj02VTqMY+x1N5Peb513eu9Wu/W81AROrif/ivvTUaPtQIfs+kIyA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KGkvxAAAANwAAAAPAAAAAAAAAAAA&#10;AAAAAKECAABkcnMvZG93bnJldi54bWxQSwUGAAAAAAQABAD5AAAAkgMAAAAA&#10;" strokecolor="#4579b8">
                  <v:stroke endarrow="open"/>
                </v:shape>
                <v:line id="Rechte verbindingslijn 25" o:spid="_x0000_s1058" style="position:absolute;visibility:visible;mso-wrap-style:square" from="1742907,920810" to="1742907,1207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7bJv8QAAADcAAAADwAAAGRycy9kb3ducmV2LnhtbESPS4vCMBSF9wP+h3AFN4OmzjBaqlFE&#10;EN2Jr4W7S3P70OamNJla//1EGHB5OI+PM192phItNa60rGA8ikAQp1aXnCs4nzbDGITzyBory6Tg&#10;SQ6Wi97HHBNtH3yg9uhzEUbYJaig8L5OpHRpQQbdyNbEwctsY9AH2eRSN/gI46aSX1E0kQZLDoQC&#10;a1oXlN6PvyZwp7f8mk3i/WbbZZfTYeWm7Wes1KDfrWYgPHX+Hf5v77SC7+gHXmfCEZ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tsm/xAAAANwAAAAPAAAAAAAAAAAA&#10;AAAAAKECAABkcnMvZG93bnJldi54bWxQSwUGAAAAAAQABAD5AAAAkgMAAAAA&#10;" strokecolor="#4579b8">
                  <v:stroke dashstyle="dash"/>
                </v:line>
                <v:shape id="Gebogen verbindingslijn 26" o:spid="_x0000_s1059" type="#_x0000_t33" style="position:absolute;left:1742907;top:920810;width:2494411;height:286703;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UGMcUAAADcAAAADwAAAGRycy9kb3ducmV2LnhtbESPQWvCQBSE70L/w/IKvemmLY0SXUMs&#10;LaR4MhHx+Mg+k2D2bchuTfrvu4WCx2FmvmE26WQ6caPBtZYVPC8iEMSV1S3XCo7l53wFwnlkjZ1l&#10;UvBDDtLtw2yDibYjH+hW+FoECLsEFTTe94mUrmrIoFvYnjh4FzsY9EEOtdQDjgFuOvkSRbE02HJY&#10;aLCn94aqa/FtFLQuLr7Oy7d9VZ4+djrXJtutjFJPj1O2BuFp8vfwfzvXCl6jGP7OhCMgt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EUGMcUAAADcAAAADwAAAAAAAAAA&#10;AAAAAAChAgAAZHJzL2Rvd25yZXYueG1sUEsFBgAAAAAEAAQA+QAAAJMDAAAAAA==&#10;" strokecolor="#4579b8">
                  <v:stroke dashstyle="dash" endarrow="open"/>
                </v:shape>
                <v:shape id="Rechte verbindingslijn met pijl 27" o:spid="_x0000_s1060" type="#_x0000_t32" style="position:absolute;left:3467115;top:654107;width:28470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3WMQAAADcAAAADwAAAGRycy9kb3ducmV2LnhtbESPT2sCMRTE7wW/Q3hCbzWxLVVXo1gX&#10;QejJP3h+bJ6b1c3Lsom6fvumUPA4zMxvmNmic7W4URsqzxqGAwWCuPCm4lLDYb9+G4MIEdlg7Zk0&#10;PCjAYt57mWFm/J23dNvFUiQIhww12BibTMpQWHIYBr4hTt7Jtw5jkm0pTYv3BHe1fFfqSzqsOC1Y&#10;bGhlqbjsrk7DplOfx/O6UI19jCbycsjz759c69d+t5yCiNTFZ/i/vTEaPtQI/s6kIy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vdYxAAAANwAAAAPAAAAAAAAAAAA&#10;AAAAAKECAABkcnMvZG93bnJldi54bWxQSwUGAAAAAAQABAD5AAAAkgMAAAAA&#10;" strokecolor="#4579b8">
                  <v:stroke endarrow="open"/>
                </v:shape>
                <v:shape id="Rechte verbindingslijn met pijl 28" o:spid="_x0000_s1061" type="#_x0000_t32" style="position:absolute;left:4722720;top:654107;width:22200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VjKsEAAADcAAAADwAAAGRycy9kb3ducmV2LnhtbERPz2vCMBS+D/Y/hDfwNpOpbNo1yrQI&#10;wk468fxonk1n81KaWOt/bw6DHT++3/lqcI3oqQu1Zw1vYwWCuPSm5krD8Wf7OgcRIrLBxjNpuFOA&#10;1fL5KcfM+BvvqT/ESqQQDhlqsDG2mZShtOQwjH1LnLiz7xzGBLtKmg5vKdw1cqLUu3RYc2qw2NLG&#10;Unk5XJ2G3aBmp99tqVp7/1jIy7Eo1t+F1qOX4esTRKQh/ov/3DujYarS2nQmHQG5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CZWMqwQAAANwAAAAPAAAAAAAAAAAAAAAA&#10;AKECAABkcnMvZG93bnJldi54bWxQSwUGAAAAAAQABAD5AAAAjwMAAAAA&#10;" strokecolor="#4579b8">
                  <v:stroke endarrow="open"/>
                </v:shape>
                <v:shape id="Tekstvak 29" o:spid="_x0000_s1062" type="#_x0000_t202" style="position:absolute;left:3331914;top:109001;width:839004;height:2762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s1/xwAA&#10;ANwAAAAPAAAAZHJzL2Rvd25yZXYueG1sRI9Ba8JAFITvgv9heYXedNNIxaauIoFgKXpI6qW31+wz&#10;Cc2+jdmtpv56Vyj0OMzMN8xyPZhWnKl3jWUFT9MIBHFpdcOVgsNHNlmAcB5ZY2uZFPySg/VqPFpi&#10;ou2FczoXvhIBwi5BBbX3XSKlK2sy6Ka2Iw7e0fYGfZB9JXWPlwA3rYyjaC4NNhwWauworan8Ln6M&#10;gvc022P+FZvFtU23u+OmOx0+n5V6fBg2ryA8Df4//Nd+0wpm0Qvcz4Qj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WrNf8cAAADcAAAADwAAAAAAAAAAAAAAAACXAgAAZHJz&#10;L2Rvd25yZXYueG1sUEsFBgAAAAAEAAQA9QAAAIsDAAAAAA==&#10;" filled="f" stroked="f" strokeweight=".5pt">
                  <v:textbox>
                    <w:txbxContent>
                      <w:p w14:paraId="12B35C7A" w14:textId="77777777" w:rsidR="00972546" w:rsidRDefault="00972546" w:rsidP="00E76739">
                        <w:pPr>
                          <w:rPr>
                            <w:sz w:val="18"/>
                            <w:szCs w:val="18"/>
                          </w:rPr>
                        </w:pPr>
                        <w:r>
                          <w:rPr>
                            <w:sz w:val="18"/>
                            <w:szCs w:val="18"/>
                          </w:rPr>
                          <w:t>feedback</w:t>
                        </w:r>
                      </w:p>
                    </w:txbxContent>
                  </v:textbox>
                </v:shape>
                <v:shape id="Tekstvak 29" o:spid="_x0000_s1063" type="#_x0000_t202" style="position:absolute;left:1742407;top:1235013;width:2867712;height:11240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fI/wwAA&#10;ANwAAAAPAAAAZHJzL2Rvd25yZXYueG1sRE9Na8JAEL0X/A/LCN7qJpYWia5BAtIi9mD04m3Mjkkw&#10;OxuzWxP767uHgsfH+16mg2nEnTpXW1YQTyMQxIXVNZcKjofN6xyE88gaG8uk4EEO0tXoZYmJtj3v&#10;6Z77UoQQdgkqqLxvEyldUZFBN7UtceAutjPoA+xKqTvsQ7hp5CyKPqTBmkNDhS1lFRXX/Mco2Gab&#10;b9yfZ2b+22Sfu8u6vR1P70pNxsN6AcLT4J/if/eXVvAWh/nhTDgC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ifI/wwAAANwAAAAPAAAAAAAAAAAAAAAAAJcCAABkcnMvZG93&#10;bnJldi54bWxQSwUGAAAAAAQABAD1AAAAhwMAAAAA&#10;" filled="f" stroked="f" strokeweight=".5pt">
                  <v:textbox>
                    <w:txbxContent>
                      <w:p w14:paraId="4DE09E19" w14:textId="77777777" w:rsidR="00972546" w:rsidRPr="000E233C" w:rsidRDefault="00972546" w:rsidP="00E76739">
                        <w:pPr>
                          <w:pStyle w:val="NormalWeb"/>
                          <w:spacing w:after="0" w:line="240" w:lineRule="auto"/>
                          <w:rPr>
                            <w:rFonts w:ascii="Calibri" w:hAnsi="Calibri" w:cs="Calibri"/>
                            <w:sz w:val="18"/>
                            <w:szCs w:val="18"/>
                            <w:lang w:val="en-US"/>
                          </w:rPr>
                        </w:pPr>
                        <w:r w:rsidRPr="000E233C">
                          <w:rPr>
                            <w:rFonts w:ascii="Calibri" w:hAnsi="Calibri" w:cs="Calibri"/>
                            <w:sz w:val="18"/>
                            <w:szCs w:val="18"/>
                            <w:lang w:val="en-US"/>
                          </w:rPr>
                          <w:t>PPO decides which LEA investigates (filtering):</w:t>
                        </w:r>
                      </w:p>
                      <w:p w14:paraId="3D1E03F1" w14:textId="77777777" w:rsidR="00972546" w:rsidRDefault="00972546" w:rsidP="00E76739">
                        <w:pPr>
                          <w:pStyle w:val="NormalWeb"/>
                          <w:numPr>
                            <w:ilvl w:val="0"/>
                            <w:numId w:val="1"/>
                          </w:numPr>
                          <w:spacing w:after="0" w:line="240" w:lineRule="auto"/>
                          <w:jc w:val="both"/>
                          <w:rPr>
                            <w:rFonts w:ascii="Calibri" w:hAnsi="Calibri" w:cs="Calibri"/>
                            <w:b/>
                          </w:rPr>
                        </w:pPr>
                        <w:r w:rsidRPr="009A0E21">
                          <w:rPr>
                            <w:rFonts w:ascii="Calibri" w:hAnsi="Calibri" w:cs="Calibri"/>
                            <w:b/>
                            <w:sz w:val="18"/>
                            <w:szCs w:val="18"/>
                          </w:rPr>
                          <w:t>Police and Border Guard Board</w:t>
                        </w:r>
                      </w:p>
                      <w:p w14:paraId="438A0CBE" w14:textId="77777777" w:rsidR="00972546" w:rsidRDefault="00972546" w:rsidP="00E76739">
                        <w:pPr>
                          <w:pStyle w:val="NormalWeb"/>
                          <w:numPr>
                            <w:ilvl w:val="0"/>
                            <w:numId w:val="1"/>
                          </w:numPr>
                          <w:spacing w:after="0" w:line="240" w:lineRule="auto"/>
                          <w:jc w:val="both"/>
                          <w:rPr>
                            <w:rFonts w:ascii="Calibri" w:hAnsi="Calibri" w:cs="Calibri"/>
                            <w:b/>
                          </w:rPr>
                        </w:pPr>
                        <w:r>
                          <w:rPr>
                            <w:rFonts w:ascii="Calibri" w:hAnsi="Calibri" w:cs="Calibri"/>
                            <w:b/>
                            <w:sz w:val="18"/>
                            <w:szCs w:val="18"/>
                          </w:rPr>
                          <w:t>Police</w:t>
                        </w:r>
                      </w:p>
                      <w:p w14:paraId="2217A6D9" w14:textId="77777777" w:rsidR="00972546" w:rsidRDefault="00972546" w:rsidP="00E76739">
                        <w:pPr>
                          <w:pStyle w:val="NormalWeb"/>
                          <w:numPr>
                            <w:ilvl w:val="0"/>
                            <w:numId w:val="1"/>
                          </w:numPr>
                          <w:spacing w:after="0" w:line="240" w:lineRule="auto"/>
                          <w:jc w:val="both"/>
                          <w:rPr>
                            <w:rFonts w:ascii="Calibri" w:hAnsi="Calibri" w:cs="Calibri"/>
                            <w:b/>
                          </w:rPr>
                        </w:pPr>
                        <w:r>
                          <w:rPr>
                            <w:rFonts w:ascii="Calibri" w:hAnsi="Calibri" w:cs="Calibri"/>
                            <w:b/>
                            <w:sz w:val="18"/>
                            <w:szCs w:val="18"/>
                          </w:rPr>
                          <w:t>Tax &amp;Customs</w:t>
                        </w:r>
                      </w:p>
                      <w:p w14:paraId="006893CD" w14:textId="77777777" w:rsidR="00972546" w:rsidRDefault="00972546" w:rsidP="00E76739">
                        <w:pPr>
                          <w:pStyle w:val="NormalWeb"/>
                          <w:numPr>
                            <w:ilvl w:val="0"/>
                            <w:numId w:val="1"/>
                          </w:numPr>
                          <w:spacing w:after="0" w:line="240" w:lineRule="auto"/>
                          <w:jc w:val="both"/>
                          <w:rPr>
                            <w:rFonts w:ascii="Calibri" w:hAnsi="Calibri" w:cs="Calibri"/>
                          </w:rPr>
                        </w:pPr>
                        <w:r>
                          <w:rPr>
                            <w:rFonts w:ascii="Calibri" w:hAnsi="Calibri" w:cs="Calibri"/>
                            <w:sz w:val="18"/>
                            <w:szCs w:val="18"/>
                          </w:rPr>
                          <w:t>Others</w:t>
                        </w:r>
                      </w:p>
                      <w:p w14:paraId="46FABF18" w14:textId="77777777" w:rsidR="00972546" w:rsidRDefault="00972546" w:rsidP="00E76739">
                        <w:pPr>
                          <w:pStyle w:val="NormalWeb"/>
                          <w:numPr>
                            <w:ilvl w:val="0"/>
                            <w:numId w:val="1"/>
                          </w:numPr>
                          <w:spacing w:after="0" w:line="240" w:lineRule="auto"/>
                          <w:jc w:val="both"/>
                          <w:rPr>
                            <w:rFonts w:ascii="Calibri" w:hAnsi="Calibri" w:cs="Calibri"/>
                          </w:rPr>
                        </w:pPr>
                        <w:r>
                          <w:rPr>
                            <w:rFonts w:ascii="Calibri" w:hAnsi="Calibri" w:cs="Calibri"/>
                            <w:sz w:val="18"/>
                            <w:szCs w:val="18"/>
                          </w:rPr>
                          <w:t>Security Police</w:t>
                        </w:r>
                      </w:p>
                    </w:txbxContent>
                  </v:textbox>
                </v:shape>
                <v:line id="Rechte verbindingslijn 59" o:spid="_x0000_s1064" style="position:absolute;flip:y;visibility:visible;mso-wrap-style:square" from="2981313,245403" to="2981313,387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hyLHMUAAADcAAAADwAAAGRycy9kb3ducmV2LnhtbESPQWvCQBSE7wX/w/KE3uomBkqJrmJb&#10;hIYExejF2yP7TEKzb0N21fTfdwtCj8PMfMMs16PpxI0G11pWEM8iEMSV1S3XCk7H7csbCOeRNXaW&#10;ScEPOVivJk9LTLW984Fupa9FgLBLUUHjfZ9K6aqGDLqZ7YmDd7GDQR/kUEs94D3ATSfnUfQqDbYc&#10;Fhrs6aOh6ru8GgVZnOldwe+upL7MP/P9OXHFWann6bhZgPA0+v/wo/2lFSTxHP7OhCM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hyLHMUAAADcAAAADwAAAAAAAAAA&#10;AAAAAAChAgAAZHJzL2Rvd25yZXYueG1sUEsFBgAAAAAEAAQA+QAAAJMDAAAAAA==&#10;" strokecolor="red">
                  <v:stroke dashstyle="dash"/>
                </v:line>
                <v:line id="Rechte verbindingslijn 513" o:spid="_x0000_s1065" style="position:absolute;flip:x y;visibility:visible;mso-wrap-style:square" from="2009708,245303" to="2981312,245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4z2sUAAADcAAAADwAAAGRycy9kb3ducmV2LnhtbESPQWvCQBSE70L/w/IKvekmBiSNrlIK&#10;Si+FqtXzM/tMotm3YXerqb++WxA8DjPzDTNb9KYVF3K+sawgHSUgiEurG64UfG+XwxyED8gaW8uk&#10;4Jc8LOZPgxkW2l55TZdNqESEsC9QQR1CV0jpy5oM+pHtiKN3tM5giNJVUju8Rrhp5ThJJtJgw3Gh&#10;xo7eayrPmx+j4JCt0t063x8+xyvHt/xreXo975R6ee7fpiAC9eERvrc/tIIszeD/TDwC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J4z2sUAAADcAAAADwAAAAAAAAAA&#10;AAAAAAChAgAAZHJzL2Rvd25yZXYueG1sUEsFBgAAAAAEAAQA+QAAAJMDAAAAAA==&#10;" strokecolor="red">
                  <v:stroke dashstyle="dash"/>
                </v:line>
                <v:shape id="Rechte verbindingslijn met pijl 514" o:spid="_x0000_s1066" type="#_x0000_t32" style="position:absolute;left:2009708;top:245403;width:0;height:1419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my8cAAADcAAAADwAAAGRycy9kb3ducmV2LnhtbESPQWvCQBSE7wX/w/KEXkQ3sVUkukor&#10;FHrooY2KeHtmn0kw+zZkVxP7612h0OMwM98wi1VnKnGlxpWWFcSjCARxZnXJuYLt5mM4A+E8ssbK&#10;Mim4kYPVsve0wETbln/omvpcBAi7BBUU3teJlC4ryKAb2Zo4eCfbGPRBNrnUDbYBbio5jqKpNFhy&#10;WCiwpnVB2Tm9GAXfv1/x4HK8Dfxhl76nkx2XXbtX6rnfvc1BeOr8f/iv/akVvMSv8DgTjoBc3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6GybLxwAAANwAAAAPAAAAAAAA&#10;AAAAAAAAAKECAABkcnMvZG93bnJldi54bWxQSwUGAAAAAAQABAD5AAAAlQMAAAAA&#10;" strokecolor="red">
                  <v:stroke dashstyle="dash" endarrow="open"/>
                </v:shape>
                <v:line id="Rechte verbindingslijn 148" o:spid="_x0000_s1067" style="position:absolute;flip:y;visibility:visible;mso-wrap-style:square" from="4237318,118801" to="4237318,387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UTaMQAAADcAAAADwAAAGRycy9kb3ducmV2LnhtbESPQYvCMBSE74L/ITzB25p2RZGuUXRF&#10;UBRlu3vx9miebbF5KU3U+u+NsOBxmJlvmOm8NZW4UeNKywriQQSCOLO65FzB3+/6YwLCeWSNlWVS&#10;8CAH81m3M8VE2zv/0C31uQgQdgkqKLyvEyldVpBBN7A1cfDOtjHog2xyqRu8B7ip5GcUjaXBksNC&#10;gTV9F5Rd0qtRsI23+rDnpUupTner3fE0dPuTUv1eu/gC4an17/B/e6MVDOMRvM6EIyBn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9RNoxAAAANwAAAAPAAAAAAAAAAAA&#10;AAAAAKECAABkcnMvZG93bnJldi54bWxQSwUGAAAAAAQABAD5AAAAkgMAAAAA&#10;" strokecolor="red">
                  <v:stroke dashstyle="dash"/>
                </v:line>
                <v:line id="Rechte verbindingslijn 149" o:spid="_x0000_s1068" style="position:absolute;flip:x y;visibility:visible;mso-wrap-style:square" from="1732407,112201" to="4237318,118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mQQsUAAADcAAAADwAAAGRycy9kb3ducmV2LnhtbESPQWvCQBSE70L/w/IK3nQTBYmpq5SC&#10;4qWgtnp+Zl+T1OzbsLvV1F/vCoLHYWa+YWaLzjTiTM7XlhWkwwQEcWF1zaWC76/lIAPhA7LGxjIp&#10;+CcPi/lLb4a5thfe0nkXShEh7HNUUIXQ5lL6oiKDfmhb4uj9WGcwROlKqR1eItw0cpQkE2mw5rhQ&#10;YUsfFRWn3Z9RcByv0v02Oxw/RyvH12yz/J2e9kr1X7v3NxCBuvAMP9prrWCcTuB+Jh4BOb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OmQQsUAAADcAAAADwAAAAAAAAAA&#10;AAAAAAChAgAAZHJzL2Rvd25yZXYueG1sUEsFBgAAAAAEAAQA+QAAAJMDAAAAAA==&#10;" strokecolor="red">
                  <v:stroke dashstyle="dash"/>
                </v:line>
                <v:shape id="Rechte verbindingslijn met pijl 150" o:spid="_x0000_s1069" type="#_x0000_t32" style="position:absolute;left:1732407;top:112201;width:10600;height:27520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m4vMcAAADcAAAADwAAAGRycy9kb3ducmV2LnhtbESPQWvCQBSE7wX/w/KEXkQ3sVQlukor&#10;FHrooY2KeHtmn0kw+zZkVxP7612h0OMwM98wi1VnKnGlxpWWFcSjCARxZnXJuYLt5mM4A+E8ssbK&#10;Mim4kYPVsve0wETbln/omvpcBAi7BBUU3teJlC4ryKAb2Zo4eCfbGPRBNrnUDbYBbio5jqKJNFhy&#10;WCiwpnVB2Tm9GAXfv1/x4HK8Dfxhl76nrzsuu3av1HO/e5uD8NT5//Bf+1MreImn8DgTjoBc3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ybi8xwAAANwAAAAPAAAAAAAA&#10;AAAAAAAAAKECAABkcnMvZG93bnJldi54bWxQSwUGAAAAAAQABAD5AAAAlQMAAAAA&#10;" strokecolor="red">
                  <v:stroke dashstyle="dash" endarrow="open"/>
                </v:shape>
                <w10:anchorlock/>
              </v:group>
            </w:pict>
          </mc:Fallback>
        </mc:AlternateContent>
      </w:r>
    </w:p>
    <w:p w14:paraId="515F6FE5" w14:textId="6D4E1CBC" w:rsidR="00E76739" w:rsidRPr="00E76739" w:rsidRDefault="00E76739" w:rsidP="00E76739">
      <w:pPr>
        <w:spacing w:after="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The blue arrows represent the information that flows from one agency to another (normally that is a report/case unless it is specified that it only concerns a copy) and the red dotted arrows illustrate supervision and </w:t>
      </w:r>
      <w:r w:rsidR="00424AEF" w:rsidRPr="00E76739">
        <w:rPr>
          <w:rFonts w:ascii="Calibri" w:eastAsia="Times New Roman" w:hAnsi="Calibri" w:cs="Calibri"/>
          <w:i/>
          <w:sz w:val="20"/>
          <w:szCs w:val="20"/>
          <w:lang w:val="en-GB" w:eastAsia="zh-CN"/>
        </w:rPr>
        <w:t>case</w:t>
      </w:r>
      <w:r w:rsidR="00424AEF">
        <w:rPr>
          <w:rFonts w:ascii="Calibri" w:eastAsia="Times New Roman" w:hAnsi="Calibri" w:cs="Calibri"/>
          <w:i/>
          <w:sz w:val="20"/>
          <w:szCs w:val="20"/>
          <w:lang w:val="en-GB" w:eastAsia="zh-CN"/>
        </w:rPr>
        <w:t>-</w:t>
      </w:r>
      <w:r w:rsidRPr="00E76739">
        <w:rPr>
          <w:rFonts w:ascii="Calibri" w:eastAsia="Times New Roman" w:hAnsi="Calibri" w:cs="Calibri"/>
          <w:i/>
          <w:sz w:val="20"/>
          <w:szCs w:val="20"/>
          <w:lang w:val="en-GB" w:eastAsia="zh-CN"/>
        </w:rPr>
        <w:t xml:space="preserve">specific feedback. We have only looked at feedback directed to the FIU, and therefore this </w:t>
      </w:r>
      <w:r w:rsidR="00055848">
        <w:rPr>
          <w:rFonts w:ascii="Calibri" w:eastAsia="Times New Roman" w:hAnsi="Calibri" w:cs="Calibri"/>
          <w:i/>
          <w:sz w:val="20"/>
          <w:szCs w:val="20"/>
          <w:lang w:val="en-GB" w:eastAsia="zh-CN"/>
        </w:rPr>
        <w:t>figure</w:t>
      </w:r>
      <w:r w:rsidRPr="00E76739">
        <w:rPr>
          <w:rFonts w:ascii="Calibri" w:eastAsia="Times New Roman" w:hAnsi="Calibri" w:cs="Calibri"/>
          <w:i/>
          <w:sz w:val="20"/>
          <w:szCs w:val="20"/>
          <w:lang w:val="en-GB" w:eastAsia="zh-CN"/>
        </w:rPr>
        <w:t xml:space="preserve"> excludes all other feedback</w:t>
      </w:r>
      <w:r w:rsidR="00055848">
        <w:rPr>
          <w:rFonts w:ascii="Calibri" w:eastAsia="Times New Roman" w:hAnsi="Calibri" w:cs="Calibri"/>
          <w:i/>
          <w:sz w:val="20"/>
          <w:szCs w:val="20"/>
          <w:lang w:val="en-GB" w:eastAsia="zh-CN"/>
        </w:rPr>
        <w:t>,</w:t>
      </w:r>
      <w:r w:rsidRPr="00E76739">
        <w:rPr>
          <w:rFonts w:ascii="Calibri" w:eastAsia="Times New Roman" w:hAnsi="Calibri" w:cs="Calibri"/>
          <w:i/>
          <w:sz w:val="20"/>
          <w:szCs w:val="20"/>
          <w:lang w:val="en-GB" w:eastAsia="zh-CN"/>
        </w:rPr>
        <w:t xml:space="preserve"> i.e. between court and prosecution. </w:t>
      </w:r>
    </w:p>
    <w:p w14:paraId="55547F14" w14:textId="77777777" w:rsidR="00E76739" w:rsidRPr="00E76739" w:rsidRDefault="00E76739" w:rsidP="00E76739">
      <w:pPr>
        <w:spacing w:after="0" w:line="240" w:lineRule="auto"/>
        <w:jc w:val="both"/>
        <w:rPr>
          <w:rFonts w:ascii="Calibri" w:eastAsia="Times New Roman" w:hAnsi="Calibri" w:cs="Calibri"/>
          <w:lang w:val="en-GB" w:eastAsia="zh-CN"/>
        </w:rPr>
      </w:pPr>
    </w:p>
    <w:p w14:paraId="259C08C5" w14:textId="77777777" w:rsidR="00E76739" w:rsidRPr="00E76739" w:rsidRDefault="00E76739" w:rsidP="00E76739">
      <w:pPr>
        <w:spacing w:after="0" w:line="240" w:lineRule="auto"/>
        <w:jc w:val="both"/>
        <w:rPr>
          <w:rFonts w:ascii="Calibri" w:eastAsia="Times New Roman" w:hAnsi="Calibri" w:cs="Calibri"/>
          <w:lang w:val="en-GB" w:eastAsia="zh-CN"/>
        </w:rPr>
      </w:pPr>
    </w:p>
    <w:p w14:paraId="6E09339F" w14:textId="77777777" w:rsidR="00E76739" w:rsidRPr="00E76739" w:rsidRDefault="00BA07A1" w:rsidP="00E76739">
      <w:pPr>
        <w:spacing w:after="0" w:line="240" w:lineRule="auto"/>
        <w:jc w:val="both"/>
        <w:rPr>
          <w:rFonts w:ascii="Calibri" w:eastAsia="SimSun" w:hAnsi="Calibri" w:cs="Times New Roman"/>
          <w:b/>
          <w:bCs/>
          <w:lang w:val="en-GB" w:eastAsia="zh-CN"/>
        </w:rPr>
      </w:pPr>
      <w:bookmarkStart w:id="27" w:name="_Toc341109084"/>
      <w:bookmarkStart w:id="28" w:name="_Toc341266524"/>
      <w:bookmarkStart w:id="29" w:name="_Toc341269279"/>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.5.8 </w:t>
      </w:r>
      <w:r w:rsidR="00E76739" w:rsidRPr="00E76739">
        <w:rPr>
          <w:rFonts w:ascii="Calibri" w:eastAsia="SimSun" w:hAnsi="Calibri" w:cs="Times New Roman"/>
          <w:b/>
          <w:bCs/>
          <w:lang w:val="en-GB" w:eastAsia="zh-CN"/>
        </w:rPr>
        <w:tab/>
        <w:t>Finlan</w:t>
      </w:r>
      <w:bookmarkEnd w:id="27"/>
      <w:bookmarkEnd w:id="28"/>
      <w:bookmarkEnd w:id="29"/>
      <w:r w:rsidR="00E76739" w:rsidRPr="00E76739">
        <w:rPr>
          <w:rFonts w:ascii="Calibri" w:eastAsia="SimSun" w:hAnsi="Calibri" w:cs="Times New Roman"/>
          <w:b/>
          <w:bCs/>
          <w:lang w:val="en-GB" w:eastAsia="zh-CN"/>
        </w:rPr>
        <w:t>d</w:t>
      </w:r>
    </w:p>
    <w:p w14:paraId="720E5498"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2AD0328C" w14:textId="68B14324" w:rsidR="00E76739" w:rsidRPr="00E76739" w:rsidRDefault="00E76739" w:rsidP="00E76739">
      <w:pPr>
        <w:spacing w:after="0" w:line="240" w:lineRule="auto"/>
        <w:jc w:val="both"/>
        <w:rPr>
          <w:rFonts w:ascii="Calibri" w:eastAsia="Calibri" w:hAnsi="Calibri" w:cs="Calibri"/>
          <w:lang w:val="en-GB" w:eastAsia="zh-CN"/>
        </w:rPr>
      </w:pPr>
      <w:r w:rsidRPr="00E76739">
        <w:rPr>
          <w:rFonts w:ascii="Calibri" w:eastAsia="Calibri" w:hAnsi="Calibri" w:cs="Calibri"/>
          <w:lang w:val="en-GB" w:eastAsia="zh-CN"/>
        </w:rPr>
        <w:t xml:space="preserve">In Finland, the FIU sends the reports to the National Bureau of Investigation and to the local police. At the same time, a copy of the files is send to the prosecution’s office for consideration. According to the Finnish representative, the PPO is normally not involved and copies of the files forwarded by the FIU to the police are only handed over to the prosecution in cases of suspicion of terrorist financing. Furthermore, here the PPO has very little contact with the FIU, but this is also due to the limited role of the PPO in Finnish criminal law. This statement is confirmed </w:t>
      </w:r>
      <w:r w:rsidR="0034384D">
        <w:rPr>
          <w:rFonts w:ascii="Calibri" w:eastAsia="Calibri" w:hAnsi="Calibri" w:cs="Calibri"/>
          <w:lang w:val="en-GB" w:eastAsia="zh-CN"/>
        </w:rPr>
        <w:t>by</w:t>
      </w:r>
      <w:r w:rsidR="0034384D" w:rsidRPr="00E76739">
        <w:rPr>
          <w:rFonts w:ascii="Calibri" w:eastAsia="Calibri" w:hAnsi="Calibri" w:cs="Calibri"/>
          <w:lang w:val="en-GB" w:eastAsia="zh-CN"/>
        </w:rPr>
        <w:t xml:space="preserve"> </w:t>
      </w:r>
      <w:r w:rsidRPr="00E76739">
        <w:rPr>
          <w:rFonts w:ascii="Calibri" w:eastAsia="Calibri" w:hAnsi="Calibri" w:cs="Calibri"/>
          <w:lang w:val="en-GB" w:eastAsia="zh-CN"/>
        </w:rPr>
        <w:t xml:space="preserve">the Finnish prosecution representative. </w:t>
      </w:r>
    </w:p>
    <w:p w14:paraId="102FEAEC" w14:textId="77777777" w:rsidR="00E76739" w:rsidRPr="00E76739" w:rsidRDefault="00E76739" w:rsidP="00E76739">
      <w:pPr>
        <w:spacing w:after="0" w:line="240" w:lineRule="auto"/>
        <w:jc w:val="both"/>
        <w:rPr>
          <w:rFonts w:ascii="Calibri" w:eastAsia="SimSun" w:hAnsi="Calibri" w:cs="Times New Roman"/>
          <w:b/>
          <w:lang w:val="en-GB" w:eastAsia="zh-CN"/>
        </w:rPr>
      </w:pPr>
    </w:p>
    <w:p w14:paraId="19540CD8" w14:textId="7369BD2D" w:rsidR="00E76739" w:rsidRPr="00E76739" w:rsidRDefault="00E76739" w:rsidP="00E76739">
      <w:pPr>
        <w:spacing w:after="0" w:line="240" w:lineRule="auto"/>
        <w:jc w:val="center"/>
        <w:rPr>
          <w:rFonts w:ascii="Calibri" w:eastAsia="SimSun" w:hAnsi="Calibri" w:cs="Times New Roman"/>
          <w:b/>
          <w:lang w:val="en-GB" w:eastAsia="zh-CN"/>
        </w:rPr>
      </w:pPr>
      <w:bookmarkStart w:id="30" w:name="_Toc350517099"/>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FB3703" w:rsidRPr="00E76739">
        <w:rPr>
          <w:rFonts w:ascii="Calibri" w:eastAsia="SimSun" w:hAnsi="Calibri" w:cs="Times New Roman"/>
          <w:b/>
          <w:lang w:val="en-GB" w:eastAsia="zh-CN"/>
        </w:rPr>
        <w:t>1</w:t>
      </w:r>
      <w:r w:rsidR="00FB3703">
        <w:rPr>
          <w:rFonts w:ascii="Calibri" w:eastAsia="SimSun" w:hAnsi="Calibri" w:cs="Times New Roman"/>
          <w:b/>
          <w:lang w:val="en-GB" w:eastAsia="zh-CN"/>
        </w:rPr>
        <w:t>2</w:t>
      </w:r>
      <w:r w:rsidRPr="00E76739">
        <w:rPr>
          <w:rFonts w:ascii="Calibri" w:eastAsia="SimSun" w:hAnsi="Calibri" w:cs="Times New Roman"/>
          <w:b/>
          <w:lang w:val="en-GB" w:eastAsia="zh-CN"/>
        </w:rPr>
        <w:t>: AML/CTF Information flows in Finland</w:t>
      </w:r>
      <w:bookmarkEnd w:id="30"/>
    </w:p>
    <w:p w14:paraId="487D7B48"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10EF5792" w14:textId="77777777" w:rsidR="00E76739" w:rsidRPr="00E76739" w:rsidRDefault="00E76739" w:rsidP="00E76739">
      <w:pPr>
        <w:spacing w:after="0" w:line="240" w:lineRule="auto"/>
        <w:jc w:val="both"/>
        <w:rPr>
          <w:rFonts w:ascii="Calibri" w:eastAsia="SimSun" w:hAnsi="Calibri" w:cs="Times New Roman"/>
          <w:b/>
          <w:lang w:val="en-GB" w:eastAsia="zh-CN"/>
        </w:rPr>
      </w:pPr>
    </w:p>
    <w:p w14:paraId="48FF2A6B" w14:textId="77777777" w:rsidR="00E76739" w:rsidRPr="00E76739" w:rsidRDefault="00C9097D" w:rsidP="00E76739">
      <w:pPr>
        <w:spacing w:after="0" w:line="240" w:lineRule="auto"/>
        <w:jc w:val="both"/>
        <w:rPr>
          <w:rFonts w:ascii="Calibri" w:eastAsia="Times New Roman" w:hAnsi="Calibri" w:cs="Calibri"/>
          <w:lang w:val="en-GB" w:eastAsia="zh-CN"/>
        </w:rPr>
      </w:pPr>
      <w:r>
        <w:rPr>
          <w:rFonts w:ascii="Verdana" w:eastAsia="SimSun" w:hAnsi="Verdana" w:cs="Times New Roman"/>
          <w:noProof/>
          <w:lang w:val="en-US" w:eastAsia="en-US"/>
        </w:rPr>
        <mc:AlternateContent>
          <mc:Choice Requires="wpc">
            <w:drawing>
              <wp:inline distT="0" distB="0" distL="0" distR="0" wp14:anchorId="27113952" wp14:editId="5AD0D1F5">
                <wp:extent cx="5901055" cy="2537460"/>
                <wp:effectExtent l="0" t="0" r="4445" b="18415"/>
                <wp:docPr id="332" name="Papier 5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5" name="Afgeronde rechthoek 541"/>
                        <wps:cNvSpPr>
                          <a:spLocks noChangeArrowheads="1"/>
                        </wps:cNvSpPr>
                        <wps:spPr bwMode="auto">
                          <a:xfrm>
                            <a:off x="47600" y="36001"/>
                            <a:ext cx="981109" cy="533413"/>
                          </a:xfrm>
                          <a:prstGeom prst="roundRect">
                            <a:avLst>
                              <a:gd name="adj" fmla="val 16667"/>
                            </a:avLst>
                          </a:prstGeom>
                          <a:solidFill>
                            <a:srgbClr val="4F81BD"/>
                          </a:solidFill>
                          <a:ln w="25400">
                            <a:solidFill>
                              <a:srgbClr val="385D8A"/>
                            </a:solidFill>
                            <a:round/>
                            <a:headEnd/>
                            <a:tailEnd/>
                          </a:ln>
                        </wps:spPr>
                        <wps:txbx>
                          <w:txbxContent>
                            <w:p w14:paraId="39EB0607" w14:textId="242B7CD1" w:rsidR="00972546" w:rsidRDefault="00972546" w:rsidP="00E76739">
                              <w:pPr>
                                <w:jc w:val="center"/>
                                <w:rPr>
                                  <w:color w:val="FFFFFF"/>
                                </w:rPr>
                              </w:pPr>
                              <w:r>
                                <w:rPr>
                                  <w:color w:val="FFFFFF"/>
                                </w:rPr>
                                <w:t>Supervised Entities</w:t>
                              </w:r>
                            </w:p>
                          </w:txbxContent>
                        </wps:txbx>
                        <wps:bodyPr rot="0" vert="horz" wrap="square" lIns="91440" tIns="45720" rIns="91440" bIns="45720" anchor="ctr" anchorCtr="0" upright="1">
                          <a:noAutofit/>
                        </wps:bodyPr>
                      </wps:wsp>
                      <wps:wsp>
                        <wps:cNvPr id="276" name="Afgeronde rechthoek 542"/>
                        <wps:cNvSpPr>
                          <a:spLocks noChangeArrowheads="1"/>
                        </wps:cNvSpPr>
                        <wps:spPr bwMode="auto">
                          <a:xfrm>
                            <a:off x="47600" y="701717"/>
                            <a:ext cx="981109" cy="533413"/>
                          </a:xfrm>
                          <a:prstGeom prst="roundRect">
                            <a:avLst>
                              <a:gd name="adj" fmla="val 16667"/>
                            </a:avLst>
                          </a:prstGeom>
                          <a:solidFill>
                            <a:srgbClr val="4F81BD"/>
                          </a:solidFill>
                          <a:ln w="25400">
                            <a:solidFill>
                              <a:srgbClr val="385D8A"/>
                            </a:solidFill>
                            <a:round/>
                            <a:headEnd/>
                            <a:tailEnd/>
                          </a:ln>
                        </wps:spPr>
                        <wps:txbx>
                          <w:txbxContent>
                            <w:p w14:paraId="762AC64E"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wps:txbx>
                        <wps:bodyPr rot="0" vert="horz" wrap="square" lIns="91440" tIns="45720" rIns="91440" bIns="45720" anchor="ctr" anchorCtr="0" upright="1">
                          <a:noAutofit/>
                        </wps:bodyPr>
                      </wps:wsp>
                      <wps:wsp>
                        <wps:cNvPr id="277" name="Afgeronde rechthoek 543"/>
                        <wps:cNvSpPr>
                          <a:spLocks noChangeArrowheads="1"/>
                        </wps:cNvSpPr>
                        <wps:spPr bwMode="auto">
                          <a:xfrm>
                            <a:off x="1257212" y="255506"/>
                            <a:ext cx="971509" cy="533413"/>
                          </a:xfrm>
                          <a:prstGeom prst="roundRect">
                            <a:avLst>
                              <a:gd name="adj" fmla="val 16667"/>
                            </a:avLst>
                          </a:prstGeom>
                          <a:solidFill>
                            <a:srgbClr val="4F81BD"/>
                          </a:solidFill>
                          <a:ln w="25400">
                            <a:solidFill>
                              <a:srgbClr val="385D8A"/>
                            </a:solidFill>
                            <a:round/>
                            <a:headEnd/>
                            <a:tailEnd/>
                          </a:ln>
                        </wps:spPr>
                        <wps:txbx>
                          <w:txbxContent>
                            <w:p w14:paraId="321CAFF8"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wps:txbx>
                        <wps:bodyPr rot="0" vert="horz" wrap="square" lIns="91440" tIns="45720" rIns="91440" bIns="45720" anchor="ctr" anchorCtr="0" upright="1">
                          <a:noAutofit/>
                        </wps:bodyPr>
                      </wps:wsp>
                      <wps:wsp>
                        <wps:cNvPr id="278" name="Afgeronde rechthoek 544"/>
                        <wps:cNvSpPr>
                          <a:spLocks noChangeArrowheads="1"/>
                        </wps:cNvSpPr>
                        <wps:spPr bwMode="auto">
                          <a:xfrm>
                            <a:off x="2616024" y="2003847"/>
                            <a:ext cx="971509" cy="533413"/>
                          </a:xfrm>
                          <a:prstGeom prst="roundRect">
                            <a:avLst>
                              <a:gd name="adj" fmla="val 16667"/>
                            </a:avLst>
                          </a:prstGeom>
                          <a:solidFill>
                            <a:srgbClr val="4F81BD"/>
                          </a:solidFill>
                          <a:ln w="25400">
                            <a:solidFill>
                              <a:srgbClr val="385D8A"/>
                            </a:solidFill>
                            <a:round/>
                            <a:headEnd/>
                            <a:tailEnd/>
                          </a:ln>
                        </wps:spPr>
                        <wps:txbx>
                          <w:txbxContent>
                            <w:p w14:paraId="7CEE1E5E"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wps:txbx>
                        <wps:bodyPr rot="0" vert="horz" wrap="square" lIns="91440" tIns="45720" rIns="91440" bIns="45720" anchor="ctr" anchorCtr="0" upright="1">
                          <a:noAutofit/>
                        </wps:bodyPr>
                      </wps:wsp>
                      <wps:wsp>
                        <wps:cNvPr id="279" name="Afgeronde rechthoek 545"/>
                        <wps:cNvSpPr>
                          <a:spLocks noChangeArrowheads="1"/>
                        </wps:cNvSpPr>
                        <wps:spPr bwMode="auto">
                          <a:xfrm>
                            <a:off x="4017137" y="2002647"/>
                            <a:ext cx="970909" cy="533413"/>
                          </a:xfrm>
                          <a:prstGeom prst="roundRect">
                            <a:avLst>
                              <a:gd name="adj" fmla="val 16667"/>
                            </a:avLst>
                          </a:prstGeom>
                          <a:solidFill>
                            <a:srgbClr val="4F81BD"/>
                          </a:solidFill>
                          <a:ln w="25400">
                            <a:solidFill>
                              <a:srgbClr val="385D8A"/>
                            </a:solidFill>
                            <a:round/>
                            <a:headEnd/>
                            <a:tailEnd/>
                          </a:ln>
                        </wps:spPr>
                        <wps:txbx>
                          <w:txbxContent>
                            <w:p w14:paraId="3D2E8794"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wps:txbx>
                        <wps:bodyPr rot="0" vert="horz" wrap="square" lIns="91440" tIns="45720" rIns="91440" bIns="45720" anchor="ctr" anchorCtr="0" upright="1">
                          <a:noAutofit/>
                        </wps:bodyPr>
                      </wps:wsp>
                      <wps:wsp>
                        <wps:cNvPr id="280" name="Gebogen verbindingslijn 546"/>
                        <wps:cNvCnPr>
                          <a:cxnSpLocks noChangeShapeType="1"/>
                        </wps:cNvCnPr>
                        <wps:spPr bwMode="auto">
                          <a:xfrm rot="16200000" flipH="1">
                            <a:off x="859507" y="248011"/>
                            <a:ext cx="76202" cy="719007"/>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281" name="Gebogen verbindingslijn 547"/>
                        <wps:cNvCnPr>
                          <a:cxnSpLocks noChangeShapeType="1"/>
                        </wps:cNvCnPr>
                        <wps:spPr bwMode="auto">
                          <a:xfrm rot="5400000" flipH="1" flipV="1">
                            <a:off x="869508" y="313913"/>
                            <a:ext cx="56201" cy="718907"/>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282" name="Rechte verbindingslijn met pijl 555"/>
                        <wps:cNvCnPr>
                          <a:cxnSpLocks noChangeShapeType="1"/>
                        </wps:cNvCnPr>
                        <wps:spPr bwMode="auto">
                          <a:xfrm flipV="1">
                            <a:off x="3587533" y="2265754"/>
                            <a:ext cx="429604"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3" name="Afgeronde rechthoek 119"/>
                        <wps:cNvSpPr>
                          <a:spLocks noChangeArrowheads="1"/>
                        </wps:cNvSpPr>
                        <wps:spPr bwMode="auto">
                          <a:xfrm>
                            <a:off x="1169111" y="997324"/>
                            <a:ext cx="1216311" cy="786019"/>
                          </a:xfrm>
                          <a:prstGeom prst="roundRect">
                            <a:avLst>
                              <a:gd name="adj" fmla="val 16667"/>
                            </a:avLst>
                          </a:prstGeom>
                          <a:solidFill>
                            <a:srgbClr val="4F81BD"/>
                          </a:solidFill>
                          <a:ln w="25400">
                            <a:solidFill>
                              <a:srgbClr val="385D8A"/>
                            </a:solidFill>
                            <a:round/>
                            <a:headEnd/>
                            <a:tailEnd/>
                          </a:ln>
                        </wps:spPr>
                        <wps:txbx>
                          <w:txbxContent>
                            <w:p w14:paraId="4742A8A9"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Security Police</w:t>
                              </w:r>
                            </w:p>
                            <w:p w14:paraId="634D324F"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or</w:t>
                              </w:r>
                            </w:p>
                            <w:p w14:paraId="238FF584" w14:textId="33601C91"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Local Police</w:t>
                              </w:r>
                            </w:p>
                            <w:p w14:paraId="64CA833F" w14:textId="77777777" w:rsidR="00972546" w:rsidRDefault="00972546" w:rsidP="00E76739">
                              <w:pPr>
                                <w:pStyle w:val="NormalWeb"/>
                                <w:spacing w:after="0"/>
                              </w:pPr>
                            </w:p>
                          </w:txbxContent>
                        </wps:txbx>
                        <wps:bodyPr rot="0" vert="horz" wrap="square" lIns="91440" tIns="45720" rIns="91440" bIns="45720" anchor="ctr" anchorCtr="0" upright="1">
                          <a:noAutofit/>
                        </wps:bodyPr>
                      </wps:wsp>
                      <wps:wsp>
                        <wps:cNvPr id="284" name="Afgeronde rechthoek 123"/>
                        <wps:cNvSpPr>
                          <a:spLocks noChangeArrowheads="1"/>
                        </wps:cNvSpPr>
                        <wps:spPr bwMode="auto">
                          <a:xfrm>
                            <a:off x="2562224" y="517712"/>
                            <a:ext cx="1031410" cy="781018"/>
                          </a:xfrm>
                          <a:prstGeom prst="roundRect">
                            <a:avLst>
                              <a:gd name="adj" fmla="val 16667"/>
                            </a:avLst>
                          </a:prstGeom>
                          <a:noFill/>
                          <a:ln w="25400">
                            <a:solidFill>
                              <a:srgbClr val="385D8A"/>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5C7194B" w14:textId="77777777" w:rsidR="00972546" w:rsidRDefault="00972546" w:rsidP="00E76739">
                              <w:pPr>
                                <w:pStyle w:val="NormalWeb"/>
                                <w:spacing w:after="0"/>
                                <w:jc w:val="center"/>
                                <w:rPr>
                                  <w:rFonts w:ascii="Calibri" w:hAnsi="Calibri" w:cs="Calibri"/>
                                  <w:sz w:val="22"/>
                                  <w:szCs w:val="22"/>
                                </w:rPr>
                              </w:pPr>
                              <w:r>
                                <w:rPr>
                                  <w:rFonts w:ascii="Calibri" w:hAnsi="Calibri" w:cs="Calibri"/>
                                  <w:sz w:val="22"/>
                                  <w:szCs w:val="22"/>
                                </w:rPr>
                                <w:t>National Bureau of Investigation</w:t>
                              </w:r>
                            </w:p>
                          </w:txbxContent>
                        </wps:txbx>
                        <wps:bodyPr rot="0" vert="horz" wrap="square" lIns="91440" tIns="45720" rIns="91440" bIns="45720" anchor="ctr" anchorCtr="0" upright="1">
                          <a:noAutofit/>
                        </wps:bodyPr>
                      </wps:wsp>
                      <wps:wsp>
                        <wps:cNvPr id="285" name="Rechte verbindingslijn met pijl 566"/>
                        <wps:cNvCnPr>
                          <a:cxnSpLocks noChangeShapeType="1"/>
                        </wps:cNvCnPr>
                        <wps:spPr bwMode="auto">
                          <a:xfrm>
                            <a:off x="2236721" y="649815"/>
                            <a:ext cx="333403"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6" name="Rechte verbindingslijn met pijl 568"/>
                        <wps:cNvCnPr>
                          <a:cxnSpLocks noChangeShapeType="1"/>
                        </wps:cNvCnPr>
                        <wps:spPr bwMode="auto">
                          <a:xfrm flipH="1">
                            <a:off x="3077829" y="1298731"/>
                            <a:ext cx="100" cy="703917"/>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7" name="Gebogen verbindingslijn 570"/>
                        <wps:cNvCnPr>
                          <a:cxnSpLocks noChangeShapeType="1"/>
                        </wps:cNvCnPr>
                        <wps:spPr bwMode="auto">
                          <a:xfrm rot="16200000" flipH="1">
                            <a:off x="2002909" y="1087629"/>
                            <a:ext cx="1352832" cy="477004"/>
                          </a:xfrm>
                          <a:prstGeom prst="bentConnector3">
                            <a:avLst>
                              <a:gd name="adj1" fmla="val 88190"/>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289" name="Tekstvak 572"/>
                        <wps:cNvSpPr txBox="1">
                          <a:spLocks noChangeArrowheads="1"/>
                        </wps:cNvSpPr>
                        <wps:spPr bwMode="auto">
                          <a:xfrm>
                            <a:off x="2433323" y="1627638"/>
                            <a:ext cx="644306" cy="29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A0B515" w14:textId="77777777" w:rsidR="00972546" w:rsidRDefault="00972546" w:rsidP="00E76739">
                              <w:pPr>
                                <w:rPr>
                                  <w:sz w:val="18"/>
                                  <w:szCs w:val="18"/>
                                </w:rPr>
                              </w:pPr>
                              <w:r>
                                <w:rPr>
                                  <w:sz w:val="18"/>
                                  <w:szCs w:val="18"/>
                                </w:rPr>
                                <w:t>a copy</w:t>
                              </w:r>
                            </w:p>
                          </w:txbxContent>
                        </wps:txbx>
                        <wps:bodyPr rot="0" vert="horz" wrap="square" lIns="91440" tIns="45720" rIns="91440" bIns="45720" anchor="t" anchorCtr="0" upright="1">
                          <a:noAutofit/>
                        </wps:bodyPr>
                      </wps:wsp>
                      <wps:wsp>
                        <wps:cNvPr id="290" name="Rechte verbindingslijn 573"/>
                        <wps:cNvCnPr/>
                        <wps:spPr bwMode="auto">
                          <a:xfrm flipV="1">
                            <a:off x="3077729" y="358908"/>
                            <a:ext cx="0" cy="158704"/>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91" name="Rechte verbindingslijn met pijl 575"/>
                        <wps:cNvCnPr>
                          <a:cxnSpLocks noChangeShapeType="1"/>
                        </wps:cNvCnPr>
                        <wps:spPr bwMode="auto">
                          <a:xfrm flipH="1">
                            <a:off x="2228621" y="358908"/>
                            <a:ext cx="849008" cy="0"/>
                          </a:xfrm>
                          <a:prstGeom prst="straightConnector1">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92" name="Rechte verbindingslijn met pijl 94"/>
                        <wps:cNvCnPr>
                          <a:cxnSpLocks noChangeShapeType="1"/>
                        </wps:cNvCnPr>
                        <wps:spPr bwMode="auto">
                          <a:xfrm>
                            <a:off x="1742916" y="788919"/>
                            <a:ext cx="400" cy="20840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3" name="Gebogen verbindingslijn 95"/>
                        <wps:cNvCnPr>
                          <a:cxnSpLocks noChangeShapeType="1"/>
                        </wps:cNvCnPr>
                        <wps:spPr bwMode="auto">
                          <a:xfrm rot="16200000" flipH="1">
                            <a:off x="1953015" y="1607544"/>
                            <a:ext cx="487212" cy="838808"/>
                          </a:xfrm>
                          <a:prstGeom prst="bentConnector2">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294" name="Afgeronde rechthoek 96"/>
                        <wps:cNvSpPr>
                          <a:spLocks noChangeArrowheads="1"/>
                        </wps:cNvSpPr>
                        <wps:spPr bwMode="auto">
                          <a:xfrm>
                            <a:off x="1113110" y="176004"/>
                            <a:ext cx="2576324" cy="1744641"/>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 name="Tekstvak 29"/>
                        <wps:cNvSpPr txBox="1">
                          <a:spLocks noChangeArrowheads="1"/>
                        </wps:cNvSpPr>
                        <wps:spPr bwMode="auto">
                          <a:xfrm>
                            <a:off x="2323122" y="194105"/>
                            <a:ext cx="838808" cy="276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38DD0C"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wps:txbx>
                        <wps:bodyPr rot="0" vert="horz" wrap="square" lIns="91440" tIns="45720" rIns="91440" bIns="45720" anchor="t" anchorCtr="0" upright="1">
                          <a:noAutofit/>
                        </wps:bodyPr>
                      </wps:wsp>
                    </wpc:wpc>
                  </a:graphicData>
                </a:graphic>
              </wp:inline>
            </w:drawing>
          </mc:Choice>
          <mc:Fallback>
            <w:pict>
              <v:group id="Papier 561" o:spid="_x0000_s1070" style="width:464.65pt;height:199.8pt;mso-position-horizontal-relative:char;mso-position-vertical-relative:line" coordsize="5901055,2537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C+cXsIAAACQgAADgAAAGRycy9lMm9Eb2MueG1s7Fxbc5tIGn2fqv0PFO+KaGigUUVJ2ZI1M1XZ&#10;2dQmu+8IkESCQAPYsndq/vucrxuQUHRLbGmTKfwggRGtvny3c06j128fl4n2EOVFnKVDnb0ydC1K&#10;gyyM0/lQ/8/HSU/oWlH6aegnWRoN9aeo0N+++cdPr9erQWRmiywJo1xDI2kxWK+G+qIsV4N+vwgW&#10;0dIvXmWrKMXFWZYv/RKn+bwf5v4arS+TvmkYTn+d5eEqz4KoKPDfsbqov5Htz2ZRUP5rNiuiUkuG&#10;OvpWytdcvk7ptf/mtT+Y5/5qEQdVN/xv6MXSj1N8adPU2C997T6Pv2hqGQd5VmSz8lWQLfvZbBYH&#10;kRwDRsOMndGM/PTBL+RgAsxO3UEcvWC70zn1O80mcZJgNvpofUD/o/c11ifCP9crrE6xatapeN73&#10;f1j4q0gOqxgEvz28z7U4HOqma+ta6i9hJTezeZRnaRhpeRQsykUWfdZszmi1qCu458PqfU79Llbv&#10;suBzoaXZaOGn8+gmz7P1IvJDdFF+HuPZuoFOCtyqTdf/zEJ8k39fZnLhHmf5khrEkmiPQ527jgF7&#10;eRrqFg5kS/4geiy1ABc9wZjh6VqAy7ZlcWZRz/r+oG5klRflz1G21OhgqOfZfRr+G7Yov8l/eFeU&#10;0lbCarh++EnXZssElvfgJxpzHMetWqw+jLbrNuWosyQOacHkST6fjpJcw63o90Sw23F1c7H9sSTV&#10;1phkm2Ncx9uwhD0WN/vakAPBUP0BTfFdGsrj0o8TdYxuJqm0ITXNarnKx+mjXGEmR0VrMM3CJ6xC&#10;nimHRADBwSLL/6drazjjUC9+v/fzSNeSX1OspMc4J++VJ9x2TZzk21em21f8NEBTQz0oc11TJ6NS&#10;+fz9Ko/nC3wXk3OQZjdY/1lc0vJt+lWdwOKvZvrOcdM3aTValnwN03cN5qo162x/8FzbF/USdrav&#10;InIT9t3jti+D65Vsn5kILsyUgd+0bdtwaNW2rN9ldhf5vyHye531Hyh6UCAfK3p4PXFXKHpMhzmG&#10;yZX1G4YluEzYnfk/N/ijXqnydxf8d4I/yuhj5m/XE3cF8+dU7ljIRijrgS1N50vzN7wu+n999Dcb&#10;5NaZf9v8BYCMMv+fo2k2j1LiUqZxSvxJkcSfUsBeWYJU9c8oVbA3eEw/7CBfCao/Pq0AalvAV91C&#10;9x8GvgqIMQdWjz9g0SRe/VKDpAoRC9uzjco5uDDYDiZ2cTPqJoLELvMMfJIw1UFIPI3ScpSlKUBx&#10;lpsbXKxu2sa6DTNB2JIgrGeb9gkEy2/cu9vbqgctFLyMS/BNSbwc6kINVtZ3e+CsVsq59IlQACod&#10;6ssoBB6NQHPRkeoooV2ZHitITwyBpH3+QKC4E3eC97jp3PW4EYa9m8mI95wJc+2xNR6NxuxPGgbj&#10;g0UchlFKeL6moBg/j2GpyDBFHjUkVDNl/XbrckHQxfpddlriXjINBTCVh9LoyGSuCIEFO+0KDX+A&#10;bHBRVyCWpO0J0if+u+sTDnwCBRzRRMzyFA+0KZds+ARGpXxCeJ1PdD4Btnof03uAERWIqCo9gD1c&#10;lNEX2WEJZnsVf0o0YNWtSulSvkF5YdcHLFu4IEFV1WQ6tmtLyLLxAm56jgFQQW4g6+DDWaEoc5/4&#10;uSYzKJpOkqAvlBls17uVVAx60coMR/mdLhlcORnAng7DAsYaOuEKsIAxx2ModyjKe55rASDLmqFW&#10;A5jJHIuuyzgvHEP17rCVd3KAkgPMhtXuYMEOLEC4PGL+5jUpURNVjFmRQjZzXbCjbfM3LMYZQIMy&#10;f2awOrxeSw1ryt0aITxP5CLwMfaLhRLUiqeCTtSYj+YIlaC+T0TQynTFtmA4kX80vHZC/Abo0Oh8&#10;G/vsHHvHsRuJ+2RB51wB9xN4reC9aVoOpA+Z5RwOhVvWk5sqzoLObSArX76KA3tgn5KooQF3ZZxk&#10;DGosX79/X5i+kbVPm3ujj14Q2+/jtSzDdYUJGhrlHTM94Vo7zBYjRkwmNwMQ/wSv9UwE09m+3Nz1&#10;t+CzGln7ILXrNrLQBW1e7rE5Tu2S2CGFDXIBQ4DKlfhqE/yZZZvCquhd7roG8LyqGA7UeC1619rQ&#10;u5Rw5lvbnpBvNvuehID5V+3u3/f0RaV3Dhd8MFV0XPB3ywU3quDH6HNRPvjY/uc2aLHC/Fr5eJth&#10;N57iiC61EdDkqHxQ0Mr04JiuY8lEtfENh3ML20RkhjA966Tykbf2ASovOqh3kL80Ro8C/W+PLtS8&#10;VhIKM7lxa3q9iSPcHp9xu+e5huiBYLklStHj40lbQnkXp9HzJRQSexzrZA0qFYI6XrUA1vmBRS5/&#10;owBR9+s6rn7fV89tgJYMwyTUXAVolT/KdkqkkeO8ue1uUyhEl2MlTmike8lvFI9uVTyCCPcgBqGh&#10;TXCoKkcGjvxUykyw+JtEeSIunKmDTiZSxVKNtUy0TXKEPz7DsRUlG39SO6QRNr/XPOeh/jlT38Hm&#10;+MpEL1gr7sNHIP+EUxED+0xccKj90EAvTwycUey9sMF3ss91ZR/vbL3TazLf5dxhix1jLlRMhioP&#10;CMkVwlMSzybO00MVqgI0BDekqx7Wf57JEZzhBh09Vm+oqcuo+n1fOfV/2/LiNSrnIYrAu0bUP4Mh&#10;YJ5tGaCEFQoyoPHviKBcqH3zlAWEJYQqhA77QIsgePn9Xx3mVw/z/UD7vxDRj2ie3rYacumH/6D2&#10;Q9BHRCc+jB4E3DF2PCTi0DYAGfGRGrijnk08bO4vLvk35e7XaJ7gMibOXsTaCZunE0T3tGL9xBay&#10;UuWqDT2nGGNC0Ndl50DNMewjkZ7qYRvCjmpZpSJVmtEW5RPyTUfO4ZHig9J/R87RJokTZMKGnGtq&#10;tx+FnMOWb/k7AzIWVj+KQL9ksH2O4+2fbnjzFwAAAP//AwBQSwMEFAAGAAgAAAAhAG+QNx3dAAAA&#10;BQEAAA8AAABkcnMvZG93bnJldi54bWxMj0FLw0AQhe+C/2GZgje7SYPFpNmUUtRTEWwF8TbNTpPQ&#10;7GzIbpP037t6sZeBx3u8902+nkwrBupdY1lBPI9AEJdWN1wp+Dy8Pj6DcB5ZY2uZFFzJwbq4v8sx&#10;03bkDxr2vhKhhF2GCmrvu0xKV9Zk0M1tRxy8k+0N+iD7Suoex1BuWrmIoqU02HBYqLGjbU3leX8x&#10;Ct5GHDdJ/DLszqft9fvw9P61i0mph9m0WYHwNPn/MPziB3QoAtPRXlg70SoIj/i/G7x0kSYgjgqS&#10;NF2CLHJ5S1/8AAAA//8DAFBLAQItABQABgAIAAAAIQDkmcPA+wAAAOEBAAATAAAAAAAAAAAAAAAA&#10;AAAAAABbQ29udGVudF9UeXBlc10ueG1sUEsBAi0AFAAGAAgAAAAhACOyauHXAAAAlAEAAAsAAAAA&#10;AAAAAAAAAAAALAEAAF9yZWxzLy5yZWxzUEsBAi0AFAAGAAgAAAAhALCgvnF7CAAAAkIAAA4AAAAA&#10;AAAAAAAAAAAALAIAAGRycy9lMm9Eb2MueG1sUEsBAi0AFAAGAAgAAAAhAG+QNx3dAAAABQEAAA8A&#10;AAAAAAAAAAAAAAAA0woAAGRycy9kb3ducmV2LnhtbFBLBQYAAAAABAAEAPMAAADdCwAAAAA=&#10;">
                <v:shape id="_x0000_s1071" type="#_x0000_t75" style="position:absolute;width:5901055;height:2537460;visibility:visible;mso-wrap-style:square">
                  <v:fill o:detectmouseclick="t"/>
                  <v:path o:connecttype="none"/>
                </v:shape>
                <v:roundrect id="Afgeronde rechthoek 541" o:spid="_x0000_s1072" style="position:absolute;left:47600;top:36001;width:981109;height:5334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EC8xgAA&#10;ANwAAAAPAAAAZHJzL2Rvd25yZXYueG1sRI9Ba8JAFITvQv/D8gq9lLqpxVZTVwmFgAdFTHrx9sw+&#10;k7TZtyG7jfHfu0LB4zAz3zCL1WAa0VPnassKXscRCOLC6ppLBd95+jID4TyyxsYyKbiQg9XyYbTA&#10;WNsz76nPfCkChF2MCirv21hKV1Rk0I1tSxy8k+0M+iC7UuoOzwFuGjmJondpsOawUGFLXxUVv9mf&#10;UbBFntc+Oaw38jnJf9I3uSuOJ6WeHofkE4Snwd/D/+21VjD5mMLtTDg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PEC8xgAAANwAAAAPAAAAAAAAAAAAAAAAAJcCAABkcnMv&#10;ZG93bnJldi54bWxQSwUGAAAAAAQABAD1AAAAigMAAAAA&#10;" fillcolor="#4f81bd" strokecolor="#385d8a" strokeweight="2pt">
                  <v:textbox>
                    <w:txbxContent>
                      <w:p w14:paraId="39EB0607" w14:textId="242B7CD1" w:rsidR="00972546" w:rsidRDefault="00972546" w:rsidP="00E76739">
                        <w:pPr>
                          <w:jc w:val="center"/>
                          <w:rPr>
                            <w:color w:val="FFFFFF"/>
                          </w:rPr>
                        </w:pPr>
                        <w:r>
                          <w:rPr>
                            <w:color w:val="FFFFFF"/>
                          </w:rPr>
                          <w:t>Supervised Entities</w:t>
                        </w:r>
                      </w:p>
                    </w:txbxContent>
                  </v:textbox>
                </v:roundrect>
                <v:roundrect id="Afgeronde rechthoek 542" o:spid="_x0000_s1073" style="position:absolute;left:47600;top:701717;width:981109;height:5334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t7LxAAA&#10;ANwAAAAPAAAAZHJzL2Rvd25yZXYueG1sRI9Bi8IwFITvgv8hPMHLoqkuuFqNUgTBgyKrXrw9m2db&#10;bV5KE7X7742w4HGYmW+Y2aIxpXhQ7QrLCgb9CARxanXBmYLjYdUbg3AeWWNpmRT8kYPFvN2aYazt&#10;k3/psfeZCBB2MSrIva9iKV2ak0HXtxVx8C62NuiDrDOpa3wGuCnlMIpG0mDBYSHHipY5pbf93SjY&#10;Ik8Kn5zWG/mVHK6rb7lLzxelup0mmYLw1PhP+L+91gqGPyN4nwlHQM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7ey8QAAADcAAAADwAAAAAAAAAAAAAAAACXAgAAZHJzL2Rv&#10;d25yZXYueG1sUEsFBgAAAAAEAAQA9QAAAIgDAAAAAA==&#10;" fillcolor="#4f81bd" strokecolor="#385d8a" strokeweight="2pt">
                  <v:textbox>
                    <w:txbxContent>
                      <w:p w14:paraId="762AC64E"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v:textbox>
                </v:roundrect>
                <v:roundrect id="Afgeronde rechthoek 543" o:spid="_x0000_s1074" style="position:absolute;left:1257212;top:255506;width:971509;height:5334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ntQxAAA&#10;ANwAAAAPAAAAZHJzL2Rvd25yZXYueG1sRI9Bi8IwFITvgv8hPMGLaKoLq1ajFEHwoMiqF2/P5tlW&#10;m5fSRO3+eyMs7HGYmW+Y+bIxpXhS7QrLCoaDCARxanXBmYLTcd2fgHAeWWNpmRT8koPlot2aY6zt&#10;i3/oefCZCBB2MSrIva9iKV2ak0E3sBVx8K62NuiDrDOpa3wFuCnlKIq+pcGCw0KOFa1ySu+Hh1Gw&#10;Q54WPjlvtrKXHG/rL7lPL1elup0mmYHw1Pj/8F97oxWMxmP4nAlHQC7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J7UMQAAADcAAAADwAAAAAAAAAAAAAAAACXAgAAZHJzL2Rv&#10;d25yZXYueG1sUEsFBgAAAAAEAAQA9QAAAIgDAAAAAA==&#10;" fillcolor="#4f81bd" strokecolor="#385d8a" strokeweight="2pt">
                  <v:textbox>
                    <w:txbxContent>
                      <w:p w14:paraId="321CAFF8"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v:textbox>
                </v:roundrect>
                <v:roundrect id="Afgeronde rechthoek 544" o:spid="_x0000_s1075" style="position:absolute;left:2616024;top:2003847;width:971509;height:5334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8iwQAA&#10;ANwAAAAPAAAAZHJzL2Rvd25yZXYueG1sRE/LisIwFN0P+A/hCm5EUxV8VKMUQXChDD427q7Nta02&#10;N6WJWv/eLAZmeTjvxaoxpXhR7QrLCgb9CARxanXBmYLzadObgnAeWWNpmRR8yMFq2fpZYKztmw/0&#10;OvpMhBB2MSrIva9iKV2ak0HXtxVx4G62NugDrDOpa3yHcFPKYRSNpcGCQ0OOFa1zSh/Hp1GwR54V&#10;Prlsd7KbnO6bkfxNrzelOu0mmYPw1Ph/8Z97qxUMJ2FtOBOOgF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3vIsEAAADcAAAADwAAAAAAAAAAAAAAAACXAgAAZHJzL2Rvd25y&#10;ZXYueG1sUEsFBgAAAAAEAAQA9QAAAIUDAAAAAA==&#10;" fillcolor="#4f81bd" strokecolor="#385d8a" strokeweight="2pt">
                  <v:textbox>
                    <w:txbxContent>
                      <w:p w14:paraId="7CEE1E5E"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v:textbox>
                </v:roundrect>
                <v:roundrect id="Afgeronde rechthoek 545" o:spid="_x0000_s1076" style="position:absolute;left:4017137;top:2002647;width:970909;height:53341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Uq5xgAA&#10;ANwAAAAPAAAAZHJzL2Rvd25yZXYueG1sRI9Ba8JAFITvgv9heUIvRTe1oDXNRkIhkEOLGHvx9pp9&#10;JtHs25Ddavrvu4WCx2FmvmGS7Wg6caXBtZYVPC0iEMSV1S3XCj4P+fwFhPPIGjvLpOCHHGzT6STB&#10;WNsb7+la+loECLsYFTTe97GUrmrIoFvYnjh4JzsY9EEOtdQD3gLcdHIZRStpsOWw0GBPbw1Vl/Lb&#10;KPhA3rQ+Oxbv8jE7nPNnuau+Tko9zMbsFYSn0d/D/+1CK1iuN/B3JhwBmf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cUq5xgAAANwAAAAPAAAAAAAAAAAAAAAAAJcCAABkcnMv&#10;ZG93bnJldi54bWxQSwUGAAAAAAQABAD1AAAAigMAAAAA&#10;" fillcolor="#4f81bd" strokecolor="#385d8a" strokeweight="2pt">
                  <v:textbox>
                    <w:txbxContent>
                      <w:p w14:paraId="3D2E8794"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v:textbox>
                </v:roundrect>
                <v:shape id="Gebogen verbindingslijn 546" o:spid="_x0000_s1077" type="#_x0000_t33" style="position:absolute;left:859507;top:248011;width:76202;height:719007;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0jh8EAAADcAAAADwAAAGRycy9kb3ducmV2LnhtbERPTYvCMBC9C/sfwizsTdMtolKNIivK&#10;woLQquhxaMa2tJmUJmr335uD4PHxvher3jTiTp2rLCv4HkUgiHOrKy4UHA/b4QyE88gaG8uk4J8c&#10;rJYfgwUm2j44pXvmCxFC2CWooPS+TaR0eUkG3ci2xIG72s6gD7ArpO7wEcJNI+MomkiDFYeGElv6&#10;KSmvs5tRcHL1bXfB+k+f62w/jsebdJpulPr67NdzEJ56/xa/3L9aQTwL88OZcATk8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nSOHwQAAANwAAAAPAAAAAAAAAAAAAAAA&#10;AKECAABkcnMvZG93bnJldi54bWxQSwUGAAAAAAQABAD5AAAAjwMAAAAA&#10;" strokecolor="#4a7ebb">
                  <v:stroke endarrow="open"/>
                </v:shape>
                <v:shape id="Gebogen verbindingslijn 547" o:spid="_x0000_s1078" type="#_x0000_t33" style="position:absolute;left:869508;top:313913;width:56201;height:718907;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1/M8MAAADcAAAADwAAAGRycy9kb3ducmV2LnhtbESPwWrDMBBE74X+g9hCb41sH0riRjYh&#10;0JJjnQTS49Za26LWyliy4/59FCj0OMzMG2ZbLrYXM43eOFaQrhIQxLXThlsF59P7yxqED8gae8ek&#10;4Jc8lMXjwxZz7a5c0XwMrYgQ9jkq6EIYcil93ZFFv3IDcfQaN1oMUY6t1CNeI9z2MkuSV2nRcFzo&#10;cKB9R/XPcbIKJm0uwXxsqsYt35vq0Ev9+TUr9fy07N5ABFrCf/ivfdAKsnUK9zPxCMj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LNfzPDAAAA3AAAAA8AAAAAAAAAAAAA&#10;AAAAoQIAAGRycy9kb3ducmV2LnhtbFBLBQYAAAAABAAEAPkAAACRAwAAAAA=&#10;" strokecolor="#4a7ebb">
                  <v:stroke endarrow="open"/>
                </v:shape>
                <v:shape id="Rechte verbindingslijn met pijl 555" o:spid="_x0000_s1079" type="#_x0000_t32" style="position:absolute;left:3587533;top:2265754;width:429604;height: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U2SsIAAADcAAAADwAAAGRycy9kb3ducmV2LnhtbESPwWrDMBBE74H8g9hCb41cH5rgRjEl&#10;YMgt2Envi7Sxja2VY8mO+/dVoZDjMDNvmH2+2F7MNPrWsYL3TQKCWDvTcq3geinediB8QDbYOyYF&#10;P+QhP6xXe8yMe3BJcxVqESHsM1TQhDBkUnrdkEW/cQNx9G5utBiiHGtpRnxEuO1lmiQf0mLLcaHB&#10;gY4N6a6arIJqezp3eNOTuX4XXWlKT/VdK/X6snx9ggi0hGf4v30yCtJdCn9n4hGQh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PU2SsIAAADcAAAADwAAAAAAAAAAAAAA&#10;AAChAgAAZHJzL2Rvd25yZXYueG1sUEsFBgAAAAAEAAQA+QAAAJADAAAAAA==&#10;" strokecolor="#4579b8">
                  <v:stroke endarrow="open"/>
                </v:shape>
                <v:roundrect id="Afgeronde rechthoek 119" o:spid="_x0000_s1080" style="position:absolute;left:1169111;top:997324;width:1216311;height:78601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A10wwAA&#10;ANwAAAAPAAAAZHJzL2Rvd25yZXYueG1sRI9Bi8IwFITvC/6H8AQvi6YqLFqNUgTBgyKrXrw9m2db&#10;bV5KE7X+eyMIHoeZ+YaZzhtTijvVrrCsoN+LQBCnVhecKTjsl90RCOeRNZaWScGTHMxnrZ8pxto+&#10;+J/uO5+JAGEXo4Lc+yqW0qU5GXQ9WxEH72xrgz7IOpO6xkeAm1IOouhPGiw4LORY0SKn9Lq7GQUb&#10;5HHhk+NqLX+T/WU5lNv0dFaq026SCQhPjf+GP+2VVjAYDeF9JhwBOX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TA10wwAAANwAAAAPAAAAAAAAAAAAAAAAAJcCAABkcnMvZG93&#10;bnJldi54bWxQSwUGAAAAAAQABAD1AAAAhwMAAAAA&#10;" fillcolor="#4f81bd" strokecolor="#385d8a" strokeweight="2pt">
                  <v:textbox>
                    <w:txbxContent>
                      <w:p w14:paraId="4742A8A9"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Security Police</w:t>
                        </w:r>
                      </w:p>
                      <w:p w14:paraId="634D324F"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or</w:t>
                        </w:r>
                      </w:p>
                      <w:p w14:paraId="238FF584" w14:textId="33601C91"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Local Police</w:t>
                        </w:r>
                      </w:p>
                      <w:p w14:paraId="64CA833F" w14:textId="77777777" w:rsidR="00972546" w:rsidRDefault="00972546" w:rsidP="00E76739">
                        <w:pPr>
                          <w:pStyle w:val="NormalWeb"/>
                          <w:spacing w:after="0"/>
                        </w:pPr>
                      </w:p>
                    </w:txbxContent>
                  </v:textbox>
                </v:roundrect>
                <v:roundrect id="Afgeronde rechthoek 123" o:spid="_x0000_s1081" style="position:absolute;left:2562224;top:517712;width:1031410;height:78101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i2ywQAA&#10;ANwAAAAPAAAAZHJzL2Rvd25yZXYueG1sRI9Bi8IwFITvwv6H8ARvmurqUqpRVmFZr1phr4/m2VSb&#10;l9KkWv/9RhA8DjPzDbPa9LYWN2p95VjBdJKAIC6crrhUcMp/xikIH5A11o5JwYM8bNYfgxVm2t35&#10;QLdjKEWEsM9QgQmhyaT0hSGLfuIa4uidXWsxRNmWUrd4j3Bby1mSfEmLFccFgw3tDBXXY2cVYJLv&#10;P/8ubBz7Lq0W2z797YxSo2H/vQQRqA/v8Ku91wpm6RyeZ+IR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eotssEAAADcAAAADwAAAAAAAAAAAAAAAACXAgAAZHJzL2Rvd25y&#10;ZXYueG1sUEsFBgAAAAAEAAQA9QAAAIUDAAAAAA==&#10;" filled="f" strokecolor="#385d8a" strokeweight="2pt">
                  <v:stroke dashstyle="3 1"/>
                  <v:textbox>
                    <w:txbxContent>
                      <w:p w14:paraId="25C7194B" w14:textId="77777777" w:rsidR="00972546" w:rsidRDefault="00972546" w:rsidP="00E76739">
                        <w:pPr>
                          <w:pStyle w:val="NormalWeb"/>
                          <w:spacing w:after="0"/>
                          <w:jc w:val="center"/>
                          <w:rPr>
                            <w:rFonts w:ascii="Calibri" w:hAnsi="Calibri" w:cs="Calibri"/>
                            <w:sz w:val="22"/>
                            <w:szCs w:val="22"/>
                          </w:rPr>
                        </w:pPr>
                        <w:r>
                          <w:rPr>
                            <w:rFonts w:ascii="Calibri" w:hAnsi="Calibri" w:cs="Calibri"/>
                            <w:sz w:val="22"/>
                            <w:szCs w:val="22"/>
                          </w:rPr>
                          <w:t>National Bureau of Investigation</w:t>
                        </w:r>
                      </w:p>
                    </w:txbxContent>
                  </v:textbox>
                </v:roundrect>
                <v:shape id="Rechte verbindingslijn met pijl 566" o:spid="_x0000_s1082" type="#_x0000_t32" style="position:absolute;left:2236721;top:649815;width:33340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kVPcUAAADcAAAADwAAAGRycy9kb3ducmV2LnhtbESPQWvCQBSE74L/YXmCN90o2JroKiIU&#10;C6FIVcTjI/tMgtm3aXZN0n/fLRR6HGbmG2a97U0lWmpcaVnBbBqBIM6sLjlXcDm/TZYgnEfWWFkm&#10;Bd/kYLsZDtaYaNvxJ7Unn4sAYZeggsL7OpHSZQUZdFNbEwfvbhuDPsgml7rBLsBNJedR9CINlhwW&#10;CqxpX1D2OD2NAhvfOD20O+6O6dfjIz7G6fXVKzUe9bsVCE+9/w//td+1gvlyAb9nwhGQm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IkVPcUAAADcAAAADwAAAAAAAAAA&#10;AAAAAAChAgAAZHJzL2Rvd25yZXYueG1sUEsFBgAAAAAEAAQA+QAAAJMDAAAAAA==&#10;" strokecolor="#4579b8" strokeweight="1.5pt">
                  <v:stroke endarrow="open"/>
                </v:shape>
                <v:shape id="Rechte verbindingslijn met pijl 568" o:spid="_x0000_s1083" type="#_x0000_t32" style="position:absolute;left:3077829;top:1298731;width:100;height:70391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7ZqksQAAADcAAAADwAAAGRycy9kb3ducmV2LnhtbESPQWvCQBSE7wX/w/IEb3WjQgipq5Sq&#10;UA8etEWvj+wzCc2+jdntJv57Vyj0OMzMN8xyPZhGBOpcbVnBbJqAIC6srrlU8P21e81AOI+ssbFM&#10;Cu7kYL0avSwx17bnI4WTL0WEsMtRQeV9m0vpiooMuqltiaN3tZ1BH2VXSt1hH+GmkfMkSaXBmuNC&#10;hS19VFT8nH6NArvYB71JSwqZ3BW38+F62fZBqcl4eH8D4Wnw/+G/9qdWMM9SeJ6JR0C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tmqSxAAAANwAAAAPAAAAAAAAAAAA&#10;AAAAAKECAABkcnMvZG93bnJldi54bWxQSwUGAAAAAAQABAD5AAAAkgMAAAAA&#10;" strokecolor="#4579b8" strokeweight="1.5pt">
                  <v:stroke endarrow="open"/>
                </v:shape>
                <v:shape id="Gebogen verbindingslijn 570" o:spid="_x0000_s1084" type="#_x0000_t34" style="position:absolute;left:2002909;top:1087629;width:1352832;height:477004;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lgs8cAAADcAAAADwAAAGRycy9kb3ducmV2LnhtbESPQWvCQBSE7wX/w/IEL6VuatFqdJUi&#10;FgTpobai3h7ZZxLNvo3Z1aT/visIHoeZ+YaZzBpTiCtVLres4LUbgSBOrM45VfD78/kyBOE8ssbC&#10;Min4IwezaetpgrG2NX/Tde1TESDsYlSQeV/GUrokI4Oua0vi4B1sZdAHWaVSV1gHuClkL4oG0mDO&#10;YSHDkuYZJaf1xSgYvc2PK4NR/2uz2y+ez+ei3sqNUp128zEG4anxj/C9vdQKesN3uJ0JR0BO/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qWCzxwAAANwAAAAPAAAAAAAA&#10;AAAAAAAAAKECAABkcnMvZG93bnJldi54bWxQSwUGAAAAAAQABAD5AAAAlQMAAAAA&#10;" adj="19049" strokecolor="#4579b8">
                  <v:stroke endarrow="open"/>
                </v:shape>
                <v:shape id="Tekstvak 572" o:spid="_x0000_s1085" type="#_x0000_t202" style="position:absolute;left:2433323;top:1627638;width:644306;height:2930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MG4xgAA&#10;ANwAAAAPAAAAZHJzL2Rvd25yZXYueG1sRI9Pa8JAFMTvBb/D8gRvdWNAidFVJCAVaQ/+uXh7Zp9J&#10;MPs2Zrea+um7hYLHYWZ+w8yXnanFnVpXWVYwGkYgiHOrKy4UHA/r9wSE88gaa8uk4IccLBe9tzmm&#10;2j54R/e9L0SAsEtRQel9k0rp8pIMuqFtiIN3sa1BH2RbSN3iI8BNLeMomkiDFYeFEhvKSsqv+2+j&#10;YJutv3B3jk3yrLOPz8uquR1PY6UG/W41A+Gp86/wf3ujFcTJFP7OhCM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WMG4xgAAANwAAAAPAAAAAAAAAAAAAAAAAJcCAABkcnMv&#10;ZG93bnJldi54bWxQSwUGAAAAAAQABAD1AAAAigMAAAAA&#10;" filled="f" stroked="f" strokeweight=".5pt">
                  <v:textbox>
                    <w:txbxContent>
                      <w:p w14:paraId="51A0B515" w14:textId="77777777" w:rsidR="00972546" w:rsidRDefault="00972546" w:rsidP="00E76739">
                        <w:pPr>
                          <w:rPr>
                            <w:sz w:val="18"/>
                            <w:szCs w:val="18"/>
                          </w:rPr>
                        </w:pPr>
                        <w:r>
                          <w:rPr>
                            <w:sz w:val="18"/>
                            <w:szCs w:val="18"/>
                          </w:rPr>
                          <w:t>a copy</w:t>
                        </w:r>
                      </w:p>
                    </w:txbxContent>
                  </v:textbox>
                </v:shape>
                <v:line id="Rechte verbindingslijn 573" o:spid="_x0000_s1086" style="position:absolute;flip:y;visibility:visible;mso-wrap-style:square" from="3077729,358908" to="3077729,5176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C8N8IAAADcAAAADwAAAGRycy9kb3ducmV2LnhtbERPy2rCQBTdF/yH4Qru6sQIUlNH8YFQ&#10;SVBMu3F3ydwmwcydkJnG+PedRaHLw3mvNoNpRE+dqy0rmE0jEMSF1TWXCr4+j69vIJxH1thYJgVP&#10;crBZj15WmGj74Cv1uS9FCGGXoILK+zaR0hUVGXRT2xIH7tt2Bn2AXSl1h48QbhoZR9FCGqw5NFTY&#10;0r6i4p7/GAWn2UmfM965nNo8PaSX29xlN6Um42H7DsLT4P/Ff+4PrSBehvnhTDgC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rC8N8IAAADcAAAADwAAAAAAAAAAAAAA&#10;AAChAgAAZHJzL2Rvd25yZXYueG1sUEsFBgAAAAAEAAQA+QAAAJADAAAAAA==&#10;" strokecolor="red">
                  <v:stroke dashstyle="dash"/>
                </v:line>
                <v:shape id="Rechte verbindingslijn met pijl 575" o:spid="_x0000_s1087" type="#_x0000_t32" style="position:absolute;left:2228621;top:358908;width:849008;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Tl6cUAAADcAAAADwAAAGRycy9kb3ducmV2LnhtbESPzW7CMBCE70i8g7WVegMnUIUSYhBC&#10;6t+BA9AHWMVLHDVeR7aBtE9fV6rEcTQz32iqzWA7cSUfWscK8mkGgrh2uuVGwefpZfIMIkRkjZ1j&#10;UvBNATbr8ajCUrsbH+h6jI1IEA4lKjAx9qWUoTZkMUxdT5y8s/MWY5K+kdrjLcFtJ2dZVkiLLacF&#10;gz3tDNVfx4tVcPbmiX/emkOhF/v53Hzo16LbK/X4MGxXICIN8R7+b79rBbNlDn9n0hG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UTl6cUAAADcAAAADwAAAAAAAAAA&#10;AAAAAAChAgAAZHJzL2Rvd25yZXYueG1sUEsFBgAAAAAEAAQA+QAAAJMDAAAAAA==&#10;" strokecolor="red">
                  <v:stroke dashstyle="dash" endarrow="open"/>
                </v:shape>
                <v:shape id="Rechte verbindingslijn met pijl 94" o:spid="_x0000_s1088" type="#_x0000_t32" style="position:absolute;left:1742916;top:788919;width:400;height:2084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bO2sMAAADcAAAADwAAAGRycy9kb3ducmV2LnhtbESPQWsCMRSE7wX/Q3iCt5p0kVa3RlEX&#10;QfBUFc+Pzetm6+Zl2URd/30jFHocZuYbZr7sXSNu1IXas4a3sQJBXHpTc6XhdNy+TkGEiGyw8Uwa&#10;HhRguRi8zDE3/s5fdDvESiQIhxw12BjbXMpQWnIYxr4lTt637xzGJLtKmg7vCe4amSn1Lh3WnBYs&#10;trSxVF4OV6dh16vJ+WdbqtY+PmbyciqK9b7QejTsV58gIvXxP/zX3hkN2SyD55l0BO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mztrDAAAA3AAAAA8AAAAAAAAAAAAA&#10;AAAAoQIAAGRycy9kb3ducmV2LnhtbFBLBQYAAAAABAAEAPkAAACRAwAAAAA=&#10;" strokecolor="#4579b8">
                  <v:stroke endarrow="open"/>
                </v:shape>
                <v:shape id="Gebogen verbindingslijn 95" o:spid="_x0000_s1089" type="#_x0000_t33" style="position:absolute;left:1953015;top:1607544;width:487212;height:838808;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AymMQAAADcAAAADwAAAGRycy9kb3ducmV2LnhtbESPQYvCMBSE7wv+h/AEb2uqQlmradEF&#10;QYQ9WL309miebbF5KU1Wq7/eLAh7HGbmG2adDaYVN+pdY1nBbBqBIC6tbrhScD7tPr9AOI+ssbVM&#10;Ch7kIEtHH2tMtL3zkW65r0SAsEtQQe19l0jpypoMuqntiIN3sb1BH2RfSd3jPcBNK+dRFEuDDYeF&#10;Gjv6rqm85r9GQWErp7eXZ7GLo+I0iw+5/hkeSk3Gw2YFwtPg/8Pv9l4rmC8X8HcmHAGZv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8DKYxAAAANwAAAAPAAAAAAAAAAAA&#10;AAAAAKECAABkcnMvZG93bnJldi54bWxQSwUGAAAAAAQABAD5AAAAkgMAAAAA&#10;" strokecolor="#4579b8">
                  <v:stroke endarrow="open"/>
                </v:shape>
                <v:roundrect id="Afgeronde rechthoek 96" o:spid="_x0000_s1090" style="position:absolute;left:1113110;top:176004;width:2576324;height:174464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ld5xQAA&#10;ANwAAAAPAAAAZHJzL2Rvd25yZXYueG1sRI9Ba8JAFITvhf6H5RW81U1tKDa6EU0RpIei1oPHR/Y1&#10;Ccm+Dburif/eLRR6HGbmG2a5Gk0nruR8Y1nByzQBQVxa3XCl4PS9fZ6D8AFZY2eZFNzIwyp/fFhi&#10;pu3AB7oeQyUihH2GCuoQ+kxKX9Zk0E9tTxy9H+sMhihdJbXDIcJNJ2dJ8iYNNhwXauypqKlsjxej&#10;4MOnX+35c39ed6PcFO41LQbcKTV5GtcLEIHG8B/+a++0gtl7Cr9n4hGQ+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V3nFAAAA3AAAAA8AAAAAAAAAAAAAAAAAlwIAAGRycy9k&#10;b3ducmV2LnhtbFBLBQYAAAAABAAEAPUAAACJAwAAAAA=&#10;" filled="f" strokecolor="#243f60" strokeweight="2pt"/>
                <v:shape id="Tekstvak 29" o:spid="_x0000_s1091" type="#_x0000_t202" style="position:absolute;left:2323122;top:194105;width:838808;height:276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F1gxQAA&#10;ANwAAAAPAAAAZHJzL2Rvd25yZXYueG1sRI9Pi8IwFMTvwn6H8Ba8aWrBxa1GkYKsiB78c9nbs3m2&#10;xeal20St++mNIHgcZuY3zGTWmkpcqXGlZQWDfgSCOLO65FzBYb/ojUA4j6yxskwK7uRgNv3oTDDR&#10;9sZbuu58LgKEXYIKCu/rREqXFWTQ9W1NHLyTbQz6IJtc6gZvAW4qGUfRlzRYclgosKa0oOy8uxgF&#10;q3Sxwe0xNqP/Kv1Zn+b13+F3qFT3s52PQXhq/Tv8ai+1gvh7CM8z4QjI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MXWDFAAAA3AAAAA8AAAAAAAAAAAAAAAAAlwIAAGRycy9k&#10;b3ducmV2LnhtbFBLBQYAAAAABAAEAPUAAACJAwAAAAA=&#10;" filled="f" stroked="f" strokeweight=".5pt">
                  <v:textbox>
                    <w:txbxContent>
                      <w:p w14:paraId="1638DD0C"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v:textbox>
                </v:shape>
                <w10:anchorlock/>
              </v:group>
            </w:pict>
          </mc:Fallback>
        </mc:AlternateContent>
      </w:r>
    </w:p>
    <w:p w14:paraId="000B356C" w14:textId="10DF803F" w:rsidR="00E76739" w:rsidRPr="00E76739" w:rsidRDefault="00E76739" w:rsidP="00E76739">
      <w:pPr>
        <w:spacing w:after="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The blue arrows represent the information that flows from one agency to another (normally that is a report/case unless it is specified that it only concerns a copy) and the red dotted arrows illustrate supervision and </w:t>
      </w:r>
      <w:r w:rsidR="0034384D" w:rsidRPr="00E76739">
        <w:rPr>
          <w:rFonts w:ascii="Calibri" w:eastAsia="Times New Roman" w:hAnsi="Calibri" w:cs="Calibri"/>
          <w:i/>
          <w:sz w:val="20"/>
          <w:szCs w:val="20"/>
          <w:lang w:val="en-GB" w:eastAsia="zh-CN"/>
        </w:rPr>
        <w:t>case</w:t>
      </w:r>
      <w:r w:rsidR="0034384D">
        <w:rPr>
          <w:rFonts w:ascii="Calibri" w:eastAsia="Times New Roman" w:hAnsi="Calibri" w:cs="Calibri"/>
          <w:i/>
          <w:sz w:val="20"/>
          <w:szCs w:val="20"/>
          <w:lang w:val="en-GB" w:eastAsia="zh-CN"/>
        </w:rPr>
        <w:t>-</w:t>
      </w:r>
      <w:r w:rsidRPr="00E76739">
        <w:rPr>
          <w:rFonts w:ascii="Calibri" w:eastAsia="Times New Roman" w:hAnsi="Calibri" w:cs="Calibri"/>
          <w:i/>
          <w:sz w:val="20"/>
          <w:szCs w:val="20"/>
          <w:lang w:val="en-GB" w:eastAsia="zh-CN"/>
        </w:rPr>
        <w:t xml:space="preserve">specific feedback. We have only looked at feedback directed to the FIU, and therefore this </w:t>
      </w:r>
      <w:r w:rsidR="00BA4271">
        <w:rPr>
          <w:rFonts w:ascii="Calibri" w:eastAsia="Times New Roman" w:hAnsi="Calibri" w:cs="Calibri"/>
          <w:i/>
          <w:sz w:val="20"/>
          <w:szCs w:val="20"/>
          <w:lang w:val="en-GB" w:eastAsia="zh-CN"/>
        </w:rPr>
        <w:t>figure</w:t>
      </w:r>
      <w:r w:rsidRPr="00E76739">
        <w:rPr>
          <w:rFonts w:ascii="Calibri" w:eastAsia="Times New Roman" w:hAnsi="Calibri" w:cs="Calibri"/>
          <w:i/>
          <w:sz w:val="20"/>
          <w:szCs w:val="20"/>
          <w:lang w:val="en-GB" w:eastAsia="zh-CN"/>
        </w:rPr>
        <w:t xml:space="preserve"> excludes all other feedback</w:t>
      </w:r>
      <w:r w:rsidR="00BA4271">
        <w:rPr>
          <w:rFonts w:ascii="Calibri" w:eastAsia="Times New Roman" w:hAnsi="Calibri" w:cs="Calibri"/>
          <w:i/>
          <w:sz w:val="20"/>
          <w:szCs w:val="20"/>
          <w:lang w:val="en-GB" w:eastAsia="zh-CN"/>
        </w:rPr>
        <w:t>,</w:t>
      </w:r>
      <w:r w:rsidRPr="00E76739">
        <w:rPr>
          <w:rFonts w:ascii="Calibri" w:eastAsia="Times New Roman" w:hAnsi="Calibri" w:cs="Calibri"/>
          <w:i/>
          <w:sz w:val="20"/>
          <w:szCs w:val="20"/>
          <w:lang w:val="en-GB" w:eastAsia="zh-CN"/>
        </w:rPr>
        <w:t xml:space="preserve"> i.e. between court and prosecution. </w:t>
      </w:r>
    </w:p>
    <w:p w14:paraId="490D2EF3" w14:textId="77777777" w:rsidR="00E76739" w:rsidRPr="00E76739" w:rsidRDefault="00E76739" w:rsidP="00E76739">
      <w:pPr>
        <w:spacing w:after="0" w:line="240" w:lineRule="auto"/>
        <w:jc w:val="both"/>
        <w:rPr>
          <w:rFonts w:ascii="Calibri" w:eastAsia="SimSun" w:hAnsi="Calibri" w:cs="Times New Roman"/>
          <w:b/>
          <w:bCs/>
          <w:lang w:val="en-GB" w:eastAsia="zh-CN"/>
        </w:rPr>
      </w:pPr>
      <w:bookmarkStart w:id="31" w:name="_Toc341109085"/>
      <w:bookmarkStart w:id="32" w:name="_Toc341266525"/>
      <w:bookmarkStart w:id="33" w:name="_Toc341269280"/>
    </w:p>
    <w:p w14:paraId="19CEFB65"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348F0E02"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.5.9 </w:t>
      </w:r>
      <w:r w:rsidR="00E76739" w:rsidRPr="00E76739">
        <w:rPr>
          <w:rFonts w:ascii="Calibri" w:eastAsia="SimSun" w:hAnsi="Calibri" w:cs="Times New Roman"/>
          <w:b/>
          <w:bCs/>
          <w:lang w:val="en-GB" w:eastAsia="zh-CN"/>
        </w:rPr>
        <w:tab/>
        <w:t>France</w:t>
      </w:r>
      <w:bookmarkEnd w:id="31"/>
      <w:bookmarkEnd w:id="32"/>
      <w:bookmarkEnd w:id="33"/>
    </w:p>
    <w:p w14:paraId="6F194508"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377A29BC" w14:textId="6947AB2E"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FIU discourages an automatic declaration of STRs based on set principles – unless these are obvious. The reporting entities are encouraged to perform their own analysis on the complexity and the nature of the transaction and to report it to the FIU as long as there is a reasonable </w:t>
      </w:r>
      <w:r w:rsidR="00CE1DF7">
        <w:rPr>
          <w:rFonts w:ascii="Calibri" w:eastAsia="Calibri" w:hAnsi="Calibri" w:cs="Times New Roman"/>
          <w:lang w:val="en-GB" w:eastAsia="zh-CN"/>
        </w:rPr>
        <w:t>suspicion</w:t>
      </w:r>
      <w:r w:rsidR="00CE1DF7"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(based on their experience) that this could have an illegal foundation. </w:t>
      </w:r>
    </w:p>
    <w:p w14:paraId="649FE570" w14:textId="7777777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TRACFIN can initiate an investigation based on information received regularly from all sources (reporting entities, information provided by the courts, financial courts, state authorities, supervisory authorities or foreign FIUs). The prohibition of self-referral remains in the order of January 2009 – i.e. the service cannot work any longer on the basis of evidence brought to its attention by natural or legal persons who are not covered by Article L. 561-2.</w:t>
      </w:r>
    </w:p>
    <w:p w14:paraId="6531F937" w14:textId="08D7E6F3"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Upon receipt, the FIU systematically tries to match the STR to information it has in its databases. If suspicion of ML/TF or any crime or offence under Article 40 of the Code of Criminal Procedure is maintained, the FIU will make an informative note, which will have to be signed by its director and </w:t>
      </w:r>
      <w:r w:rsidR="001C1658" w:rsidRPr="00E76739">
        <w:rPr>
          <w:rFonts w:ascii="Calibri" w:eastAsia="Calibri" w:hAnsi="Calibri" w:cs="Times New Roman"/>
          <w:lang w:val="en-GB" w:eastAsia="zh-CN"/>
        </w:rPr>
        <w:t>finali</w:t>
      </w:r>
      <w:r w:rsidR="001C1658">
        <w:rPr>
          <w:rFonts w:ascii="Calibri" w:eastAsia="Calibri" w:hAnsi="Calibri" w:cs="Times New Roman"/>
          <w:lang w:val="en-GB" w:eastAsia="zh-CN"/>
        </w:rPr>
        <w:t>z</w:t>
      </w:r>
      <w:r w:rsidR="001C1658"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by the delegate magistrate that is assigned to work with the FIU, and thereafter forwarded to the law enforcement authorities</w:t>
      </w:r>
      <w:r w:rsidR="001C1658">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24"/>
      </w:r>
      <w:r w:rsidRPr="00E76739">
        <w:rPr>
          <w:rFonts w:ascii="Calibri" w:eastAsia="Calibri" w:hAnsi="Calibri" w:cs="Times New Roman"/>
          <w:lang w:val="en-GB" w:eastAsia="zh-CN"/>
        </w:rPr>
        <w:t xml:space="preserve"> </w:t>
      </w:r>
    </w:p>
    <w:p w14:paraId="493292AA" w14:textId="6A0EF362"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Times New Roman" w:hAnsi="Calibri" w:cs="Times New Roman"/>
          <w:lang w:val="en-GB" w:eastAsia="zh-CN"/>
        </w:rPr>
        <w:t xml:space="preserve">TRACFIN also </w:t>
      </w:r>
      <w:r w:rsidR="001C1658" w:rsidRPr="001C1658">
        <w:rPr>
          <w:rFonts w:ascii="Calibri" w:eastAsia="Times New Roman" w:hAnsi="Calibri" w:cs="Times New Roman"/>
          <w:lang w:val="en-GB" w:eastAsia="zh-CN"/>
        </w:rPr>
        <w:t xml:space="preserve">has </w:t>
      </w:r>
      <w:r w:rsidRPr="00E76739">
        <w:rPr>
          <w:rFonts w:ascii="Calibri" w:eastAsia="Times New Roman" w:hAnsi="Calibri" w:cs="Times New Roman"/>
          <w:lang w:val="en-GB" w:eastAsia="zh-CN"/>
        </w:rPr>
        <w:t>other legal opportunities for the distribution of financial information</w:t>
      </w:r>
      <w:r w:rsidR="001C1658">
        <w:rPr>
          <w:rFonts w:ascii="Calibri" w:eastAsia="Times New Roman" w:hAnsi="Calibri" w:cs="Times New Roman"/>
          <w:lang w:val="en-GB" w:eastAsia="zh-CN"/>
        </w:rPr>
        <w:t>.</w:t>
      </w:r>
      <w:r w:rsidRPr="00E76739">
        <w:rPr>
          <w:rFonts w:ascii="Calibri" w:eastAsia="Times New Roman" w:hAnsi="Calibri" w:cs="Times New Roman"/>
          <w:vertAlign w:val="superscript"/>
          <w:lang w:val="en-GB" w:eastAsia="zh-CN"/>
        </w:rPr>
        <w:footnoteReference w:id="25"/>
      </w:r>
      <w:r w:rsidRPr="00E76739">
        <w:rPr>
          <w:rFonts w:ascii="Calibri" w:eastAsia="Times New Roman" w:hAnsi="Calibri" w:cs="Times New Roman"/>
          <w:lang w:val="en-GB" w:eastAsia="zh-CN"/>
        </w:rPr>
        <w:t xml:space="preserve"> Transmissions to the customs administration, the judicial police, the tax administration and the intelligence services ensure that, in the absence of a reasonable body of evidence to support the presumption of a criminal offence, investigations </w:t>
      </w:r>
      <w:r w:rsidR="001C1658">
        <w:rPr>
          <w:rFonts w:ascii="Calibri" w:eastAsia="Times New Roman" w:hAnsi="Calibri" w:cs="Times New Roman"/>
          <w:lang w:val="en-GB" w:eastAsia="zh-CN"/>
        </w:rPr>
        <w:t>by</w:t>
      </w:r>
      <w:r w:rsidR="001C1658"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TRACFIN nevertheless reveal information that is most likely exploitable by these services. The financial information provided by TRACFIN to these authorities is not the same as </w:t>
      </w:r>
      <w:r w:rsidRPr="00E76739">
        <w:rPr>
          <w:rFonts w:ascii="Calibri" w:eastAsia="Calibri" w:hAnsi="Calibri" w:cs="Times New Roman"/>
          <w:lang w:val="en-GB" w:eastAsia="zh-CN"/>
        </w:rPr>
        <w:t xml:space="preserve">that sent to the prosecutor. In this sense it is a less documented information note. </w:t>
      </w:r>
    </w:p>
    <w:p w14:paraId="34315BE0" w14:textId="6D03F5A5"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If the analysis of the FIU reveals that there is suspicion of tax evasion, the FIU shall notify the Directorate General of Public Finances (DGFIP), who thereafter</w:t>
      </w:r>
      <w:r w:rsidR="001C1658">
        <w:rPr>
          <w:rFonts w:ascii="Calibri" w:eastAsia="Calibri" w:hAnsi="Calibri" w:cs="Times New Roman"/>
          <w:lang w:val="en-GB" w:eastAsia="zh-CN"/>
        </w:rPr>
        <w:t>,</w:t>
      </w:r>
      <w:r w:rsidRPr="00E76739">
        <w:rPr>
          <w:rFonts w:ascii="Calibri" w:eastAsia="Calibri" w:hAnsi="Calibri" w:cs="Times New Roman"/>
          <w:lang w:val="en-GB" w:eastAsia="zh-CN"/>
        </w:rPr>
        <w:t xml:space="preserve"> according to </w:t>
      </w:r>
      <w:r w:rsidR="001C1658">
        <w:rPr>
          <w:rFonts w:ascii="Calibri" w:eastAsia="Calibri" w:hAnsi="Calibri" w:cs="Times New Roman"/>
          <w:lang w:val="en-GB" w:eastAsia="zh-CN"/>
        </w:rPr>
        <w:t>S</w:t>
      </w:r>
      <w:r w:rsidR="001C1658" w:rsidRPr="00E76739">
        <w:rPr>
          <w:rFonts w:ascii="Calibri" w:eastAsia="Calibri" w:hAnsi="Calibri" w:cs="Times New Roman"/>
          <w:lang w:val="en-GB" w:eastAsia="zh-CN"/>
        </w:rPr>
        <w:t xml:space="preserve">ection </w:t>
      </w:r>
      <w:r w:rsidRPr="00E76739">
        <w:rPr>
          <w:rFonts w:ascii="Calibri" w:eastAsia="Calibri" w:hAnsi="Calibri" w:cs="Times New Roman"/>
          <w:lang w:val="en-GB" w:eastAsia="zh-CN"/>
        </w:rPr>
        <w:t>1741 of the Tax Code</w:t>
      </w:r>
      <w:r w:rsidR="001C1658">
        <w:rPr>
          <w:rFonts w:ascii="Calibri" w:eastAsia="Calibri" w:hAnsi="Calibri" w:cs="Times New Roman"/>
          <w:lang w:val="en-GB" w:eastAsia="zh-CN"/>
        </w:rPr>
        <w:t>,</w:t>
      </w:r>
      <w:r w:rsidRPr="00E76739">
        <w:rPr>
          <w:rFonts w:ascii="Calibri" w:eastAsia="Calibri" w:hAnsi="Calibri" w:cs="Times New Roman"/>
          <w:lang w:val="en-GB" w:eastAsia="zh-CN"/>
        </w:rPr>
        <w:t xml:space="preserve"> is allowed to use this information to perform its own duties. Moreover, when the DGFIP observes that there is ML with tax evasion as predicate crime, they will forward the information to the PPO. For more effective treatment of the STRs concerning fiscal fraud, TRACFIN has built up a hub of staff recruited from DGFIP that works within its premises and focuses only on these specific STRs.</w:t>
      </w:r>
    </w:p>
    <w:p w14:paraId="649E6B3A" w14:textId="5BB381FD"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the cases related to TF, the FIU will notify the French Intelligence Services. This is done to ensure that information is spread rapidly for operational use. If the investigation </w:t>
      </w:r>
      <w:r w:rsidR="00BE2FE4">
        <w:rPr>
          <w:rFonts w:ascii="Calibri" w:eastAsia="Calibri" w:hAnsi="Calibri" w:cs="Times New Roman"/>
          <w:lang w:val="en-GB" w:eastAsia="zh-CN"/>
        </w:rPr>
        <w:t>by</w:t>
      </w:r>
      <w:r w:rsidR="00BE2FE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the Intelligence </w:t>
      </w:r>
      <w:r w:rsidR="00BE2FE4">
        <w:rPr>
          <w:rFonts w:ascii="Calibri" w:eastAsia="Calibri" w:hAnsi="Calibri" w:cs="Times New Roman"/>
          <w:lang w:val="en-GB" w:eastAsia="zh-CN"/>
        </w:rPr>
        <w:t>S</w:t>
      </w:r>
      <w:r w:rsidR="00BE2FE4" w:rsidRPr="00E76739">
        <w:rPr>
          <w:rFonts w:ascii="Calibri" w:eastAsia="Calibri" w:hAnsi="Calibri" w:cs="Times New Roman"/>
          <w:lang w:val="en-GB" w:eastAsia="zh-CN"/>
        </w:rPr>
        <w:t xml:space="preserve">ervices </w:t>
      </w:r>
      <w:r w:rsidRPr="00E76739">
        <w:rPr>
          <w:rFonts w:ascii="Calibri" w:eastAsia="Calibri" w:hAnsi="Calibri" w:cs="Times New Roman"/>
          <w:lang w:val="en-GB" w:eastAsia="zh-CN"/>
        </w:rPr>
        <w:t xml:space="preserve">reveals a crime, then the Intelligence Services will notify the PPO. </w:t>
      </w:r>
    </w:p>
    <w:p w14:paraId="2C847B85" w14:textId="2409808D" w:rsidR="00E76739" w:rsidRPr="00E76739" w:rsidRDefault="00E76739" w:rsidP="00E76739">
      <w:pPr>
        <w:spacing w:after="0" w:line="240" w:lineRule="auto"/>
        <w:jc w:val="both"/>
        <w:rPr>
          <w:rFonts w:ascii="Calibri" w:eastAsia="Times New Roman" w:hAnsi="Calibri" w:cs="Times New Roman"/>
          <w:lang w:val="en-GB" w:eastAsia="zh-CN"/>
        </w:rPr>
      </w:pPr>
      <w:r w:rsidRPr="00E76739">
        <w:rPr>
          <w:rFonts w:ascii="Calibri" w:eastAsia="Times New Roman" w:hAnsi="Calibri" w:cs="Times New Roman"/>
          <w:lang w:val="en-GB" w:eastAsia="zh-CN"/>
        </w:rPr>
        <w:t xml:space="preserve">On the matter of feedback, the order of </w:t>
      </w:r>
      <w:r w:rsidR="00BE2FE4">
        <w:rPr>
          <w:rFonts w:ascii="Calibri" w:eastAsia="Times New Roman" w:hAnsi="Calibri" w:cs="Times New Roman"/>
          <w:lang w:val="en-GB" w:eastAsia="zh-CN"/>
        </w:rPr>
        <w:t xml:space="preserve">30 </w:t>
      </w:r>
      <w:r w:rsidRPr="00E76739">
        <w:rPr>
          <w:rFonts w:ascii="Calibri" w:eastAsia="Times New Roman" w:hAnsi="Calibri" w:cs="Times New Roman"/>
          <w:lang w:val="en-GB" w:eastAsia="zh-CN"/>
        </w:rPr>
        <w:t xml:space="preserve">January 2009 requires the prosecutor to inform TRACFIN on the start-up </w:t>
      </w:r>
      <w:r w:rsidR="00BE2FE4">
        <w:rPr>
          <w:rFonts w:ascii="Calibri" w:eastAsia="Times New Roman" w:hAnsi="Calibri" w:cs="Times New Roman"/>
          <w:lang w:val="en-GB" w:eastAsia="zh-CN"/>
        </w:rPr>
        <w:t xml:space="preserve">of </w:t>
      </w:r>
      <w:r w:rsidRPr="00E76739">
        <w:rPr>
          <w:rFonts w:ascii="Calibri" w:eastAsia="Times New Roman" w:hAnsi="Calibri" w:cs="Times New Roman"/>
          <w:lang w:val="en-GB" w:eastAsia="zh-CN"/>
        </w:rPr>
        <w:t>judicial proceedings, on non-follow-up, and on the decisions imposed by a criminal court, in cases where an information note from TRACFIN was employed. During the interviews, the FIU representatives argued that</w:t>
      </w:r>
      <w:r w:rsidR="00BE2FE4">
        <w:rPr>
          <w:rFonts w:ascii="Calibri" w:eastAsia="Times New Roman" w:hAnsi="Calibri" w:cs="Times New Roman"/>
          <w:lang w:val="en-GB" w:eastAsia="zh-CN"/>
        </w:rPr>
        <w:t>,</w:t>
      </w:r>
      <w:r w:rsidRPr="00E76739">
        <w:rPr>
          <w:rFonts w:ascii="Calibri" w:eastAsia="Times New Roman" w:hAnsi="Calibri" w:cs="Times New Roman"/>
          <w:lang w:val="en-GB" w:eastAsia="zh-CN"/>
        </w:rPr>
        <w:t xml:space="preserve"> since a magistrate is delegated to the FIU, feedback is received through this magistrate. Furthermore this ensures that the information notes of the FIU can match the legal requirements in order to be effectively used in </w:t>
      </w:r>
      <w:r w:rsidR="00BE2FE4">
        <w:rPr>
          <w:rFonts w:ascii="Calibri" w:eastAsia="Times New Roman" w:hAnsi="Calibri" w:cs="Times New Roman"/>
          <w:lang w:val="en-GB" w:eastAsia="zh-CN"/>
        </w:rPr>
        <w:t>any</w:t>
      </w:r>
      <w:r w:rsidR="00BE2FE4"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consequent judicial procedures.</w:t>
      </w:r>
    </w:p>
    <w:p w14:paraId="718362EC" w14:textId="77777777" w:rsidR="00E76739" w:rsidRPr="00E76739" w:rsidRDefault="00E76739" w:rsidP="00E76739">
      <w:pPr>
        <w:spacing w:after="0" w:line="240" w:lineRule="auto"/>
        <w:rPr>
          <w:rFonts w:ascii="Calibri" w:eastAsia="SimSun" w:hAnsi="Calibri" w:cs="Times New Roman"/>
          <w:b/>
          <w:lang w:val="en-GB" w:eastAsia="zh-CN"/>
        </w:rPr>
      </w:pPr>
    </w:p>
    <w:p w14:paraId="5876EE1F" w14:textId="77777777" w:rsidR="00E76739" w:rsidRPr="00E76739" w:rsidRDefault="00E76739" w:rsidP="00E76739">
      <w:pPr>
        <w:spacing w:after="0" w:line="240" w:lineRule="auto"/>
        <w:rPr>
          <w:rFonts w:ascii="Calibri" w:eastAsia="SimSun" w:hAnsi="Calibri" w:cs="Times New Roman"/>
          <w:b/>
          <w:lang w:val="en-GB" w:eastAsia="zh-CN"/>
        </w:rPr>
      </w:pPr>
      <w:r w:rsidRPr="00E76739">
        <w:rPr>
          <w:rFonts w:ascii="Verdana" w:eastAsia="SimSun" w:hAnsi="Verdana" w:cs="Times New Roman"/>
          <w:sz w:val="20"/>
          <w:szCs w:val="24"/>
          <w:lang w:val="en-GB" w:eastAsia="zh-CN"/>
        </w:rPr>
        <w:br w:type="page"/>
      </w:r>
    </w:p>
    <w:p w14:paraId="6599F4CD" w14:textId="1B956184" w:rsidR="00E76739" w:rsidRPr="00E76739" w:rsidRDefault="00E76739" w:rsidP="00E76739">
      <w:pPr>
        <w:spacing w:after="0" w:line="240" w:lineRule="auto"/>
        <w:jc w:val="center"/>
        <w:rPr>
          <w:rFonts w:ascii="Calibri" w:eastAsia="SimSun" w:hAnsi="Calibri" w:cs="Times New Roman"/>
          <w:b/>
          <w:lang w:val="en-GB" w:eastAsia="zh-CN"/>
        </w:rPr>
      </w:pPr>
      <w:bookmarkStart w:id="34" w:name="_Toc350517100"/>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FB3703" w:rsidRPr="00E76739">
        <w:rPr>
          <w:rFonts w:ascii="Calibri" w:eastAsia="SimSun" w:hAnsi="Calibri" w:cs="Times New Roman"/>
          <w:b/>
          <w:lang w:val="en-GB" w:eastAsia="zh-CN"/>
        </w:rPr>
        <w:t>1</w:t>
      </w:r>
      <w:r w:rsidR="00FB3703">
        <w:rPr>
          <w:rFonts w:ascii="Calibri" w:eastAsia="SimSun" w:hAnsi="Calibri" w:cs="Times New Roman"/>
          <w:b/>
          <w:lang w:val="en-GB" w:eastAsia="zh-CN"/>
        </w:rPr>
        <w:t>3</w:t>
      </w:r>
      <w:r w:rsidRPr="00E76739">
        <w:rPr>
          <w:rFonts w:ascii="Calibri" w:eastAsia="SimSun" w:hAnsi="Calibri" w:cs="Times New Roman"/>
          <w:b/>
          <w:lang w:val="en-GB" w:eastAsia="zh-CN"/>
        </w:rPr>
        <w:t>: AML/CTF Information flows in France</w:t>
      </w:r>
      <w:bookmarkEnd w:id="34"/>
    </w:p>
    <w:p w14:paraId="5E5138A2"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6CF688B9" w14:textId="77777777" w:rsidR="00E76739" w:rsidRPr="00E76739" w:rsidRDefault="00E76739" w:rsidP="00E76739">
      <w:pPr>
        <w:spacing w:after="0" w:line="240" w:lineRule="auto"/>
        <w:jc w:val="center"/>
        <w:rPr>
          <w:rFonts w:ascii="Calibri" w:eastAsia="Calibri" w:hAnsi="Calibri" w:cs="Times New Roman"/>
          <w:b/>
          <w:u w:val="single"/>
          <w:lang w:val="en-GB" w:eastAsia="zh-CN"/>
        </w:rPr>
      </w:pPr>
      <w:r w:rsidRPr="00E76739">
        <w:rPr>
          <w:rFonts w:ascii="Calibri" w:eastAsia="Calibri" w:hAnsi="Calibri" w:cs="Times New Roman"/>
          <w:b/>
          <w:noProof/>
          <w:lang w:val="en-US" w:eastAsia="en-US"/>
        </w:rPr>
        <w:drawing>
          <wp:inline distT="0" distB="0" distL="0" distR="0" wp14:anchorId="181395AC" wp14:editId="4261B004">
            <wp:extent cx="5343525" cy="3276600"/>
            <wp:effectExtent l="0" t="0" r="9525" b="0"/>
            <wp:docPr id="28" name="Afbeelding 29" descr="FranceInformationFlow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nceInformationFlow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l="4152" t="6480" r="4152" b="25671"/>
                    <a:stretch>
                      <a:fillRect/>
                    </a:stretch>
                  </pic:blipFill>
                  <pic:spPr bwMode="auto">
                    <a:xfrm>
                      <a:off x="0" y="0"/>
                      <a:ext cx="5343525" cy="3276600"/>
                    </a:xfrm>
                    <a:prstGeom prst="rect">
                      <a:avLst/>
                    </a:prstGeom>
                    <a:noFill/>
                    <a:ln>
                      <a:noFill/>
                    </a:ln>
                  </pic:spPr>
                </pic:pic>
              </a:graphicData>
            </a:graphic>
          </wp:inline>
        </w:drawing>
      </w:r>
    </w:p>
    <w:p w14:paraId="48E8144C" w14:textId="1731EFB9" w:rsidR="00E76739" w:rsidRPr="00E76739" w:rsidRDefault="00E76739" w:rsidP="00E76739">
      <w:pPr>
        <w:spacing w:after="240" w:line="240" w:lineRule="auto"/>
        <w:jc w:val="both"/>
        <w:rPr>
          <w:rFonts w:ascii="Calibri" w:eastAsia="Calibri" w:hAnsi="Calibri" w:cs="Times New Roman"/>
          <w:sz w:val="20"/>
          <w:szCs w:val="20"/>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F0030C">
        <w:rPr>
          <w:rFonts w:ascii="Calibri" w:eastAsia="Calibri" w:hAnsi="Calibri" w:cs="Times New Roman"/>
          <w:i/>
          <w:sz w:val="20"/>
          <w:szCs w:val="20"/>
          <w:lang w:val="en-GB" w:eastAsia="zh-CN"/>
        </w:rPr>
        <w:t>both</w:t>
      </w:r>
      <w:r w:rsidR="00F0030C"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F0030C" w:rsidRPr="00E76739">
        <w:rPr>
          <w:rFonts w:ascii="Calibri" w:eastAsia="Calibri" w:hAnsi="Calibri" w:cs="Times New Roman"/>
          <w:i/>
          <w:sz w:val="20"/>
          <w:szCs w:val="20"/>
          <w:lang w:val="en-GB" w:eastAsia="zh-CN"/>
        </w:rPr>
        <w:t>speciali</w:t>
      </w:r>
      <w:r w:rsidR="00F0030C">
        <w:rPr>
          <w:rFonts w:ascii="Calibri" w:eastAsia="Calibri" w:hAnsi="Calibri" w:cs="Times New Roman"/>
          <w:i/>
          <w:sz w:val="20"/>
          <w:szCs w:val="20"/>
          <w:lang w:val="en-GB" w:eastAsia="zh-CN"/>
        </w:rPr>
        <w:t>z</w:t>
      </w:r>
      <w:r w:rsidR="00F0030C"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in dealing with ML/TF cases.</w:t>
      </w:r>
    </w:p>
    <w:p w14:paraId="0A5F8174" w14:textId="71C64DC4" w:rsidR="00E76739" w:rsidRPr="00E76739" w:rsidRDefault="00F0030C" w:rsidP="00E76739">
      <w:pPr>
        <w:spacing w:after="0" w:line="240" w:lineRule="auto"/>
        <w:rPr>
          <w:rFonts w:ascii="Calibri" w:eastAsia="Calibri" w:hAnsi="Calibri" w:cs="Times New Roman"/>
          <w:i/>
          <w:lang w:val="en-GB" w:eastAsia="zh-CN"/>
        </w:rPr>
      </w:pPr>
      <w:r w:rsidRPr="00E76739">
        <w:rPr>
          <w:rFonts w:ascii="Calibri" w:eastAsia="Calibri" w:hAnsi="Calibri" w:cs="Times New Roman"/>
          <w:i/>
          <w:lang w:val="en-GB" w:eastAsia="zh-CN"/>
        </w:rPr>
        <w:t>Speciali</w:t>
      </w:r>
      <w:r>
        <w:rPr>
          <w:rFonts w:ascii="Calibri" w:eastAsia="Calibri" w:hAnsi="Calibri" w:cs="Times New Roman"/>
          <w:i/>
          <w:lang w:val="en-GB" w:eastAsia="zh-CN"/>
        </w:rPr>
        <w:t>z</w:t>
      </w:r>
      <w:r w:rsidRPr="00E76739">
        <w:rPr>
          <w:rFonts w:ascii="Calibri" w:eastAsia="Calibri" w:hAnsi="Calibri" w:cs="Times New Roman"/>
          <w:i/>
          <w:lang w:val="en-GB" w:eastAsia="zh-CN"/>
        </w:rPr>
        <w:t xml:space="preserve">ed </w:t>
      </w:r>
      <w:r w:rsidR="00E76739" w:rsidRPr="00E76739">
        <w:rPr>
          <w:rFonts w:ascii="Calibri" w:eastAsia="Calibri" w:hAnsi="Calibri" w:cs="Times New Roman"/>
          <w:i/>
          <w:lang w:val="en-GB" w:eastAsia="zh-CN"/>
        </w:rPr>
        <w:t>investigative authorities</w:t>
      </w:r>
    </w:p>
    <w:p w14:paraId="0CF5EA74" w14:textId="0E1AD7E2"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Times New Roman" w:hAnsi="Calibri" w:cs="Times New Roman"/>
          <w:lang w:val="en-GB" w:eastAsia="zh-CN"/>
        </w:rPr>
        <w:t>T</w:t>
      </w:r>
      <w:r w:rsidRPr="00E76739">
        <w:rPr>
          <w:rFonts w:ascii="Calibri" w:eastAsia="Calibri" w:hAnsi="Calibri" w:cs="Times New Roman"/>
          <w:lang w:val="en-GB" w:eastAsia="zh-CN"/>
        </w:rPr>
        <w:t xml:space="preserve">he Directorate General of the Judicial Police (DCPN) has two central offices that have national competence and are investigating ML: The Central Office for the Repression of the Major Financial Crimes (OCRGDF) – </w:t>
      </w:r>
      <w:r w:rsidR="00E06F24">
        <w:rPr>
          <w:rFonts w:ascii="Calibri" w:eastAsia="Calibri" w:hAnsi="Calibri" w:cs="Times New Roman"/>
          <w:lang w:val="en-GB" w:eastAsia="zh-CN"/>
        </w:rPr>
        <w:t>which</w:t>
      </w:r>
      <w:r w:rsidR="00E06F2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handles money laundering, scams and serious fraud – and the National Financial Investigation Division </w:t>
      </w:r>
      <w:r w:rsidR="00E06F24">
        <w:rPr>
          <w:rFonts w:ascii="Calibri" w:eastAsia="Calibri" w:hAnsi="Calibri" w:cs="Times New Roman"/>
          <w:lang w:val="en-GB" w:eastAsia="zh-CN"/>
        </w:rPr>
        <w:t>–</w:t>
      </w:r>
      <w:r w:rsidRPr="00E76739">
        <w:rPr>
          <w:rFonts w:ascii="Calibri" w:eastAsia="Calibri" w:hAnsi="Calibri" w:cs="Times New Roman"/>
          <w:lang w:val="en-GB" w:eastAsia="zh-CN"/>
        </w:rPr>
        <w:t xml:space="preserve"> with expertise in corporate criminal law, public procurement and corruption. The OCRGDF </w:t>
      </w:r>
      <w:r w:rsidR="00E06F24" w:rsidRPr="00E76739">
        <w:rPr>
          <w:rFonts w:ascii="Calibri" w:eastAsia="Calibri" w:hAnsi="Calibri" w:cs="Times New Roman"/>
          <w:lang w:val="en-GB" w:eastAsia="zh-CN"/>
        </w:rPr>
        <w:t>centrali</w:t>
      </w:r>
      <w:r w:rsidR="00E06F24">
        <w:rPr>
          <w:rFonts w:ascii="Calibri" w:eastAsia="Calibri" w:hAnsi="Calibri" w:cs="Times New Roman"/>
          <w:lang w:val="en-GB" w:eastAsia="zh-CN"/>
        </w:rPr>
        <w:t>z</w:t>
      </w:r>
      <w:r w:rsidR="00E06F24" w:rsidRPr="00E76739">
        <w:rPr>
          <w:rFonts w:ascii="Calibri" w:eastAsia="Calibri" w:hAnsi="Calibri" w:cs="Times New Roman"/>
          <w:lang w:val="en-GB" w:eastAsia="zh-CN"/>
        </w:rPr>
        <w:t xml:space="preserve">es </w:t>
      </w:r>
      <w:r w:rsidRPr="00E76739">
        <w:rPr>
          <w:rFonts w:ascii="Calibri" w:eastAsia="Calibri" w:hAnsi="Calibri" w:cs="Times New Roman"/>
          <w:lang w:val="en-GB" w:eastAsia="zh-CN"/>
        </w:rPr>
        <w:t xml:space="preserve">and analyses the information it receives from the regional police, from the gendarmerie and the Customs, and coordinates their actions. The OCRGDF translates this information into operational and strategic data relevant to criminal investigations conducted both nationally and internationally. </w:t>
      </w:r>
    </w:p>
    <w:p w14:paraId="5130172B" w14:textId="3252F093"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Within the police headquarters in Paris there are also </w:t>
      </w:r>
      <w:r w:rsidR="00E06F24" w:rsidRPr="00E76739">
        <w:rPr>
          <w:rFonts w:ascii="Calibri" w:eastAsia="Calibri" w:hAnsi="Calibri" w:cs="Times New Roman"/>
          <w:lang w:val="en-GB" w:eastAsia="zh-CN"/>
        </w:rPr>
        <w:t>speciali</w:t>
      </w:r>
      <w:r w:rsidR="00E06F24">
        <w:rPr>
          <w:rFonts w:ascii="Calibri" w:eastAsia="Calibri" w:hAnsi="Calibri" w:cs="Times New Roman"/>
          <w:lang w:val="en-GB" w:eastAsia="zh-CN"/>
        </w:rPr>
        <w:t>z</w:t>
      </w:r>
      <w:r w:rsidR="00E06F24"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services in economic and financial matters</w:t>
      </w:r>
      <w:r w:rsidR="00E06F24">
        <w:rPr>
          <w:rFonts w:ascii="Calibri" w:eastAsia="Calibri" w:hAnsi="Calibri" w:cs="Times New Roman"/>
          <w:lang w:val="en-GB" w:eastAsia="zh-CN"/>
        </w:rPr>
        <w:t>,</w:t>
      </w:r>
      <w:r w:rsidRPr="00E76739">
        <w:rPr>
          <w:rFonts w:ascii="Calibri" w:eastAsia="Calibri" w:hAnsi="Calibri" w:cs="Times New Roman"/>
          <w:lang w:val="en-GB" w:eastAsia="zh-CN"/>
        </w:rPr>
        <w:t xml:space="preserve"> i.e. the Financial Guard (competent in criminal law cases), the brigade fighting economic crime (competence in investigating corruption and public procurement), and the Research and Financial Investigations brigade (competent </w:t>
      </w:r>
      <w:r w:rsidR="00E06F24">
        <w:rPr>
          <w:rFonts w:ascii="Calibri" w:eastAsia="Calibri" w:hAnsi="Calibri" w:cs="Times New Roman"/>
          <w:lang w:val="en-GB" w:eastAsia="zh-CN"/>
        </w:rPr>
        <w:t>at</w:t>
      </w:r>
      <w:r w:rsidR="00E06F2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investigating counterfeiting and money laundering).</w:t>
      </w:r>
    </w:p>
    <w:p w14:paraId="3CF59AD9" w14:textId="7777777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As part of the most serious cases, the Gendarmerie occasionally puts in place national investigation teams (CNEs). These teams are particular to the Gendarmerie and bring together, on the same case, investigators belonging to different research units.</w:t>
      </w:r>
    </w:p>
    <w:p w14:paraId="35424296" w14:textId="7DEF6A85"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National Judicial Customs (SNDJ) has jurisdiction</w:t>
      </w:r>
      <w:r w:rsidRPr="00E76739">
        <w:rPr>
          <w:rFonts w:ascii="Calibri" w:eastAsia="Calibri" w:hAnsi="Calibri" w:cs="Times New Roman"/>
          <w:vertAlign w:val="superscript"/>
          <w:lang w:val="en-GB" w:eastAsia="zh-CN"/>
        </w:rPr>
        <w:footnoteReference w:id="26"/>
      </w:r>
      <w:r w:rsidRPr="00E76739">
        <w:rPr>
          <w:rFonts w:ascii="Calibri" w:eastAsia="Calibri" w:hAnsi="Calibri" w:cs="Times New Roman"/>
          <w:lang w:val="en-GB" w:eastAsia="zh-CN"/>
        </w:rPr>
        <w:t xml:space="preserve"> to investigate and detect crimes of money laundering</w:t>
      </w:r>
      <w:r w:rsidR="00E06F24">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27"/>
      </w:r>
      <w:r w:rsidRPr="00E76739">
        <w:rPr>
          <w:rFonts w:ascii="Calibri" w:eastAsia="Calibri" w:hAnsi="Calibri" w:cs="Times New Roman"/>
          <w:lang w:val="en-GB" w:eastAsia="zh-CN"/>
        </w:rPr>
        <w:t xml:space="preserve"> The judicial customs officers are </w:t>
      </w:r>
      <w:r w:rsidR="00E06F24" w:rsidRPr="00E76739">
        <w:rPr>
          <w:rFonts w:ascii="Calibri" w:eastAsia="Calibri" w:hAnsi="Calibri" w:cs="Times New Roman"/>
          <w:lang w:val="en-GB" w:eastAsia="zh-CN"/>
        </w:rPr>
        <w:t>authori</w:t>
      </w:r>
      <w:r w:rsidR="00E06F24">
        <w:rPr>
          <w:rFonts w:ascii="Calibri" w:eastAsia="Calibri" w:hAnsi="Calibri" w:cs="Times New Roman"/>
          <w:lang w:val="en-GB" w:eastAsia="zh-CN"/>
        </w:rPr>
        <w:t>z</w:t>
      </w:r>
      <w:r w:rsidR="00E06F24"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to conduct criminal investigations </w:t>
      </w:r>
      <w:r w:rsidR="000913B1">
        <w:rPr>
          <w:rFonts w:ascii="Calibri" w:eastAsia="Calibri" w:hAnsi="Calibri" w:cs="Times New Roman"/>
          <w:lang w:val="en-GB" w:eastAsia="zh-CN"/>
        </w:rPr>
        <w:t>on</w:t>
      </w:r>
      <w:r w:rsidR="000913B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the request of the prosecutor or commission of the investigating judge over the whole national territory.</w:t>
      </w:r>
    </w:p>
    <w:p w14:paraId="4A014078" w14:textId="64D65E3C" w:rsidR="00E76739" w:rsidRPr="00E76739" w:rsidRDefault="000913B1" w:rsidP="00E76739">
      <w:pPr>
        <w:spacing w:after="240" w:line="240" w:lineRule="auto"/>
        <w:jc w:val="both"/>
        <w:rPr>
          <w:rFonts w:ascii="Calibri" w:eastAsia="Calibri" w:hAnsi="Calibri" w:cs="Times New Roman"/>
          <w:i/>
          <w:lang w:val="en-GB" w:eastAsia="zh-CN"/>
        </w:rPr>
      </w:pPr>
      <w:r w:rsidRPr="00E76739">
        <w:rPr>
          <w:rFonts w:ascii="Calibri" w:eastAsia="Calibri" w:hAnsi="Calibri" w:cs="Times New Roman"/>
          <w:i/>
          <w:lang w:val="en-GB" w:eastAsia="zh-CN"/>
        </w:rPr>
        <w:t>Speciali</w:t>
      </w:r>
      <w:r>
        <w:rPr>
          <w:rFonts w:ascii="Calibri" w:eastAsia="Calibri" w:hAnsi="Calibri" w:cs="Times New Roman"/>
          <w:i/>
          <w:lang w:val="en-GB" w:eastAsia="zh-CN"/>
        </w:rPr>
        <w:t>z</w:t>
      </w:r>
      <w:r w:rsidRPr="00E76739">
        <w:rPr>
          <w:rFonts w:ascii="Calibri" w:eastAsia="Calibri" w:hAnsi="Calibri" w:cs="Times New Roman"/>
          <w:i/>
          <w:lang w:val="en-GB" w:eastAsia="zh-CN"/>
        </w:rPr>
        <w:t xml:space="preserve">ed </w:t>
      </w:r>
      <w:r w:rsidR="00E76739" w:rsidRPr="00E76739">
        <w:rPr>
          <w:rFonts w:ascii="Calibri" w:eastAsia="Calibri" w:hAnsi="Calibri" w:cs="Times New Roman"/>
          <w:i/>
          <w:lang w:val="en-GB" w:eastAsia="zh-CN"/>
        </w:rPr>
        <w:t>prosecution and courts</w:t>
      </w:r>
    </w:p>
    <w:p w14:paraId="2D131C7A" w14:textId="29E83274"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only prosecuting authority in France is the Procureur de la République. The division of competence among the prosecutors is based on the court to which the prosecutor is appointed (High Court, Appeal Court, Inter-regional </w:t>
      </w:r>
      <w:r w:rsidR="000913B1" w:rsidRPr="00E76739">
        <w:rPr>
          <w:rFonts w:ascii="Calibri" w:eastAsia="Calibri" w:hAnsi="Calibri" w:cs="Times New Roman"/>
          <w:lang w:val="en-GB" w:eastAsia="zh-CN"/>
        </w:rPr>
        <w:t>Speciali</w:t>
      </w:r>
      <w:r w:rsidR="000913B1">
        <w:rPr>
          <w:rFonts w:ascii="Calibri" w:eastAsia="Calibri" w:hAnsi="Calibri" w:cs="Times New Roman"/>
          <w:lang w:val="en-GB" w:eastAsia="zh-CN"/>
        </w:rPr>
        <w:t>z</w:t>
      </w:r>
      <w:r w:rsidR="000913B1"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Jurisdiction etc.). The ML competence is based on geographical criteria – i.e. where the offence is committed, where the criminal lives or where the victim lives. There is only one exception </w:t>
      </w:r>
      <w:r w:rsidR="000913B1">
        <w:rPr>
          <w:rFonts w:ascii="Calibri" w:eastAsia="Calibri" w:hAnsi="Calibri" w:cs="Times New Roman"/>
          <w:lang w:val="en-GB" w:eastAsia="zh-CN"/>
        </w:rPr>
        <w:t>–</w:t>
      </w:r>
      <w:r w:rsidRPr="00E76739">
        <w:rPr>
          <w:rFonts w:ascii="Calibri" w:eastAsia="Calibri" w:hAnsi="Calibri" w:cs="Times New Roman"/>
          <w:lang w:val="en-GB" w:eastAsia="zh-CN"/>
        </w:rPr>
        <w:t xml:space="preserve"> for the TF offence and its preparatory and/or ancillary offences, the prosecutor from the </w:t>
      </w:r>
      <w:r w:rsidR="000913B1">
        <w:rPr>
          <w:rFonts w:ascii="Calibri" w:eastAsia="Calibri" w:hAnsi="Calibri" w:cs="Times New Roman"/>
          <w:lang w:val="en-GB" w:eastAsia="zh-CN"/>
        </w:rPr>
        <w:t>a</w:t>
      </w:r>
      <w:r w:rsidR="000913B1" w:rsidRPr="00E76739">
        <w:rPr>
          <w:rFonts w:ascii="Calibri" w:eastAsia="Calibri" w:hAnsi="Calibri" w:cs="Times New Roman"/>
          <w:lang w:val="en-GB" w:eastAsia="zh-CN"/>
        </w:rPr>
        <w:t>nti</w:t>
      </w:r>
      <w:r w:rsidRPr="00E76739">
        <w:rPr>
          <w:rFonts w:ascii="Calibri" w:eastAsia="Calibri" w:hAnsi="Calibri" w:cs="Times New Roman"/>
          <w:lang w:val="en-GB" w:eastAsia="zh-CN"/>
        </w:rPr>
        <w:t>-terrorism section of the Court of Paris has national competence</w:t>
      </w:r>
      <w:r w:rsidR="000913B1">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28"/>
      </w:r>
      <w:r w:rsidRPr="00E76739">
        <w:rPr>
          <w:rFonts w:ascii="Calibri" w:eastAsia="Calibri" w:hAnsi="Calibri" w:cs="Times New Roman"/>
          <w:lang w:val="en-GB" w:eastAsia="zh-CN"/>
        </w:rPr>
        <w:t xml:space="preserve"> </w:t>
      </w:r>
    </w:p>
    <w:p w14:paraId="513848D7" w14:textId="74E147C4" w:rsidR="00E76739" w:rsidRPr="00E76739" w:rsidRDefault="00E76739" w:rsidP="00E76739">
      <w:pPr>
        <w:spacing w:after="240" w:line="240" w:lineRule="auto"/>
        <w:jc w:val="both"/>
        <w:rPr>
          <w:rFonts w:ascii="Calibri" w:eastAsia="Times New Roman" w:hAnsi="Calibri" w:cs="Times New Roman"/>
          <w:lang w:val="en-GB" w:eastAsia="zh-CN"/>
        </w:rPr>
      </w:pPr>
      <w:r w:rsidRPr="00E76739">
        <w:rPr>
          <w:rFonts w:ascii="Calibri" w:eastAsia="Times New Roman" w:hAnsi="Calibri" w:cs="Times New Roman"/>
          <w:lang w:val="en-GB" w:eastAsia="zh-CN"/>
        </w:rPr>
        <w:t>A special feature of the French legal system</w:t>
      </w:r>
      <w:r w:rsidR="000913B1">
        <w:rPr>
          <w:rFonts w:ascii="Calibri" w:eastAsia="Times New Roman" w:hAnsi="Calibri" w:cs="Times New Roman"/>
          <w:lang w:val="en-GB" w:eastAsia="zh-CN"/>
        </w:rPr>
        <w:t>’s</w:t>
      </w:r>
      <w:r w:rsidRPr="00E76739">
        <w:rPr>
          <w:rFonts w:ascii="Calibri" w:eastAsia="Times New Roman" w:hAnsi="Calibri" w:cs="Times New Roman"/>
          <w:lang w:val="en-GB" w:eastAsia="zh-CN"/>
        </w:rPr>
        <w:t xml:space="preserve"> fight against economic and financial crime is the superposition of several levels of competence. Within the judiciary, Paris holds a special place. This is due to the financial importance of this hub within the French economy. Furthermore, in France, there is a hierarchy of courts and prosecutors attached to them. France has created </w:t>
      </w:r>
      <w:r w:rsidR="000913B1">
        <w:rPr>
          <w:rFonts w:ascii="Calibri" w:eastAsia="Times New Roman" w:hAnsi="Calibri" w:cs="Times New Roman"/>
          <w:lang w:val="en-GB" w:eastAsia="zh-CN"/>
        </w:rPr>
        <w:t>eight</w:t>
      </w:r>
      <w:r w:rsidR="000913B1" w:rsidRPr="00E76739">
        <w:rPr>
          <w:rFonts w:ascii="Calibri" w:eastAsia="Times New Roman" w:hAnsi="Calibri" w:cs="Times New Roman"/>
          <w:lang w:val="en-GB" w:eastAsia="zh-CN"/>
        </w:rPr>
        <w:t xml:space="preserve"> speciali</w:t>
      </w:r>
      <w:r w:rsidR="000913B1">
        <w:rPr>
          <w:rFonts w:ascii="Calibri" w:eastAsia="Times New Roman" w:hAnsi="Calibri" w:cs="Times New Roman"/>
          <w:lang w:val="en-GB" w:eastAsia="zh-CN"/>
        </w:rPr>
        <w:t>z</w:t>
      </w:r>
      <w:r w:rsidR="000913B1" w:rsidRPr="00E76739">
        <w:rPr>
          <w:rFonts w:ascii="Calibri" w:eastAsia="Times New Roman" w:hAnsi="Calibri" w:cs="Times New Roman"/>
          <w:lang w:val="en-GB" w:eastAsia="zh-CN"/>
        </w:rPr>
        <w:t xml:space="preserve">ed </w:t>
      </w:r>
      <w:r w:rsidRPr="00E76739">
        <w:rPr>
          <w:rFonts w:ascii="Calibri" w:eastAsia="Times New Roman" w:hAnsi="Calibri" w:cs="Times New Roman"/>
          <w:lang w:val="en-GB" w:eastAsia="zh-CN"/>
        </w:rPr>
        <w:t xml:space="preserve">interregional courts (JIRS) in economic and financial matters. These </w:t>
      </w:r>
      <w:r w:rsidR="000913B1">
        <w:rPr>
          <w:rFonts w:ascii="Calibri" w:eastAsia="Times New Roman" w:hAnsi="Calibri" w:cs="Times New Roman"/>
          <w:lang w:val="en-GB" w:eastAsia="zh-CN"/>
        </w:rPr>
        <w:t>eight</w:t>
      </w:r>
      <w:r w:rsidR="000913B1"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courts are competent to deal with complex cases. The JIRS are located in the largest economic centres of France (Paris, Bordeaux, Lille, Marseille, Nancy, Fort-de-France, Rennes and Lyon).</w:t>
      </w:r>
    </w:p>
    <w:p w14:paraId="774F35BF" w14:textId="77777777" w:rsidR="00E76739" w:rsidRPr="00E76739" w:rsidRDefault="00E76739" w:rsidP="00E76739">
      <w:pPr>
        <w:spacing w:after="240" w:line="240" w:lineRule="auto"/>
        <w:jc w:val="both"/>
        <w:rPr>
          <w:rFonts w:ascii="Calibri" w:eastAsia="Calibri" w:hAnsi="Calibri" w:cs="Times New Roman"/>
          <w:i/>
          <w:lang w:val="en-GB" w:eastAsia="zh-CN"/>
        </w:rPr>
      </w:pPr>
      <w:r w:rsidRPr="00E76739">
        <w:rPr>
          <w:rFonts w:ascii="Calibri" w:eastAsia="Calibri" w:hAnsi="Calibri" w:cs="Times New Roman"/>
          <w:i/>
          <w:lang w:val="en-GB" w:eastAsia="zh-CN"/>
        </w:rPr>
        <w:t>Investigative judge</w:t>
      </w:r>
    </w:p>
    <w:p w14:paraId="34CDD1D4" w14:textId="2B96B56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France, an investigative judge is a magistrate </w:t>
      </w:r>
      <w:r w:rsidR="000913B1">
        <w:rPr>
          <w:rFonts w:ascii="Calibri" w:eastAsia="Calibri" w:hAnsi="Calibri" w:cs="Times New Roman"/>
          <w:lang w:val="en-GB" w:eastAsia="zh-CN"/>
        </w:rPr>
        <w:t>who</w:t>
      </w:r>
      <w:r w:rsidR="000913B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conduct</w:t>
      </w:r>
      <w:r w:rsidR="000913B1">
        <w:rPr>
          <w:rFonts w:ascii="Calibri" w:eastAsia="Calibri" w:hAnsi="Calibri" w:cs="Times New Roman"/>
          <w:lang w:val="en-GB" w:eastAsia="zh-CN"/>
        </w:rPr>
        <w:t>s</w:t>
      </w:r>
      <w:r w:rsidRPr="00E76739">
        <w:rPr>
          <w:rFonts w:ascii="Calibri" w:eastAsia="Calibri" w:hAnsi="Calibri" w:cs="Times New Roman"/>
          <w:lang w:val="en-GB" w:eastAsia="zh-CN"/>
        </w:rPr>
        <w:t xml:space="preserve"> effective criminal investigations. </w:t>
      </w:r>
      <w:r w:rsidR="000913B1">
        <w:rPr>
          <w:rFonts w:ascii="Calibri" w:eastAsia="Calibri" w:hAnsi="Calibri" w:cs="Times New Roman"/>
          <w:lang w:val="en-GB" w:eastAsia="zh-CN"/>
        </w:rPr>
        <w:t>He/she</w:t>
      </w:r>
      <w:r w:rsidR="000913B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may not take up office and may not carry out investigation unless referred to by the PPO. The investigative judge is the investigator who has the most powers in France. </w:t>
      </w:r>
      <w:r w:rsidR="000913B1">
        <w:rPr>
          <w:rFonts w:ascii="Calibri" w:eastAsia="Calibri" w:hAnsi="Calibri" w:cs="Times New Roman"/>
          <w:lang w:val="en-GB" w:eastAsia="zh-CN"/>
        </w:rPr>
        <w:t>He/she</w:t>
      </w:r>
      <w:r w:rsidR="000913B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can hear any witness, summon witnesses </w:t>
      </w:r>
      <w:r w:rsidR="000913B1">
        <w:rPr>
          <w:rFonts w:ascii="Calibri" w:eastAsia="Calibri" w:hAnsi="Calibri" w:cs="Times New Roman"/>
          <w:lang w:val="en-GB" w:eastAsia="zh-CN"/>
        </w:rPr>
        <w:t>through</w:t>
      </w:r>
      <w:r w:rsidR="000913B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the police, issue warrants, hear plaintiffs and accused, appoint experts, conduct searches and seizures, order wiretaps, etc. The investigative judge conducts </w:t>
      </w:r>
      <w:r w:rsidR="000913B1">
        <w:rPr>
          <w:rFonts w:ascii="Calibri" w:eastAsia="Calibri" w:hAnsi="Calibri" w:cs="Times New Roman"/>
          <w:lang w:val="en-GB" w:eastAsia="zh-CN"/>
        </w:rPr>
        <w:t>his/her</w:t>
      </w:r>
      <w:r w:rsidR="000913B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investigation in consultation with the prosecutor and police or forensic teams, and appraises the applications for acts of the defence counsel or the prosecution. If the investigation leads to sufficient charges on some counts of prosecution, the investigative judge makes an order for referral to the criminal courts. Otherwise, he</w:t>
      </w:r>
      <w:r w:rsidR="000913B1">
        <w:rPr>
          <w:rFonts w:ascii="Calibri" w:eastAsia="Calibri" w:hAnsi="Calibri" w:cs="Times New Roman"/>
          <w:lang w:val="en-GB" w:eastAsia="zh-CN"/>
        </w:rPr>
        <w:t>/she</w:t>
      </w:r>
      <w:r w:rsidRPr="00E76739">
        <w:rPr>
          <w:rFonts w:ascii="Calibri" w:eastAsia="Calibri" w:hAnsi="Calibri" w:cs="Times New Roman"/>
          <w:lang w:val="en-GB" w:eastAsia="zh-CN"/>
        </w:rPr>
        <w:t xml:space="preserve"> will make an order of dismissal.</w:t>
      </w:r>
    </w:p>
    <w:p w14:paraId="56F78C27" w14:textId="16DFBA03" w:rsidR="00E76739" w:rsidRPr="00E76739" w:rsidRDefault="00E76739" w:rsidP="00E76739">
      <w:pPr>
        <w:spacing w:after="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investigative judge is also a sitting judge. He</w:t>
      </w:r>
      <w:r w:rsidR="000913B1">
        <w:rPr>
          <w:rFonts w:ascii="Calibri" w:eastAsia="Calibri" w:hAnsi="Calibri" w:cs="Times New Roman"/>
          <w:lang w:val="en-GB" w:eastAsia="zh-CN"/>
        </w:rPr>
        <w:t>/she</w:t>
      </w:r>
      <w:r w:rsidRPr="00E76739">
        <w:rPr>
          <w:rFonts w:ascii="Calibri" w:eastAsia="Calibri" w:hAnsi="Calibri" w:cs="Times New Roman"/>
          <w:lang w:val="en-GB" w:eastAsia="zh-CN"/>
        </w:rPr>
        <w:t xml:space="preserve"> can impose measures which are judicial, and that no investigator can impose. The judge may for instance indict a person but since 2001, he</w:t>
      </w:r>
      <w:r w:rsidR="000913B1">
        <w:rPr>
          <w:rFonts w:ascii="Calibri" w:eastAsia="Calibri" w:hAnsi="Calibri" w:cs="Times New Roman"/>
          <w:lang w:val="en-GB" w:eastAsia="zh-CN"/>
        </w:rPr>
        <w:t>/she</w:t>
      </w:r>
      <w:r w:rsidRPr="00E76739">
        <w:rPr>
          <w:rFonts w:ascii="Calibri" w:eastAsia="Calibri" w:hAnsi="Calibri" w:cs="Times New Roman"/>
          <w:lang w:val="en-GB" w:eastAsia="zh-CN"/>
        </w:rPr>
        <w:t xml:space="preserve"> cannot imprison. The investigative judge is a specificity of the French legal system. Despite this, the role attributed to the investigative judge has been constantly </w:t>
      </w:r>
      <w:r w:rsidR="000913B1">
        <w:rPr>
          <w:rFonts w:ascii="Calibri" w:eastAsia="Calibri" w:hAnsi="Calibri" w:cs="Times New Roman"/>
          <w:lang w:val="en-GB" w:eastAsia="zh-CN"/>
        </w:rPr>
        <w:t>reduc</w:t>
      </w:r>
      <w:r w:rsidR="000913B1" w:rsidRPr="00E76739">
        <w:rPr>
          <w:rFonts w:ascii="Calibri" w:eastAsia="Calibri" w:hAnsi="Calibri" w:cs="Times New Roman"/>
          <w:lang w:val="en-GB" w:eastAsia="zh-CN"/>
        </w:rPr>
        <w:t>ed</w:t>
      </w:r>
      <w:r w:rsidRPr="00E76739">
        <w:rPr>
          <w:rFonts w:ascii="Calibri" w:eastAsia="Calibri" w:hAnsi="Calibri" w:cs="Times New Roman"/>
          <w:lang w:val="en-GB" w:eastAsia="zh-CN"/>
        </w:rPr>
        <w:t>, and currently only 5% of cases are directed by the investigative judge. Nevertheless, these are some of the most complicated cases. Despite several discussions on the abolition of this position, the independent</w:t>
      </w:r>
      <w:r w:rsidRPr="00E76739">
        <w:rPr>
          <w:rFonts w:ascii="Calibri" w:eastAsia="Calibri" w:hAnsi="Calibri" w:cs="Times New Roman"/>
          <w:vertAlign w:val="superscript"/>
          <w:lang w:val="en-GB" w:eastAsia="zh-CN"/>
        </w:rPr>
        <w:footnoteReference w:id="29"/>
      </w:r>
      <w:r w:rsidRPr="00E76739">
        <w:rPr>
          <w:rFonts w:ascii="Calibri" w:eastAsia="Calibri" w:hAnsi="Calibri" w:cs="Times New Roman"/>
          <w:lang w:val="en-GB" w:eastAsia="zh-CN"/>
        </w:rPr>
        <w:t xml:space="preserve"> nature of the investigative judge makes him</w:t>
      </w:r>
      <w:r w:rsidR="000913B1">
        <w:rPr>
          <w:rFonts w:ascii="Calibri" w:eastAsia="Calibri" w:hAnsi="Calibri" w:cs="Times New Roman"/>
          <w:lang w:val="en-GB" w:eastAsia="zh-CN"/>
        </w:rPr>
        <w:t>/her</w:t>
      </w:r>
      <w:r w:rsidRPr="00E76739">
        <w:rPr>
          <w:rFonts w:ascii="Calibri" w:eastAsia="Calibri" w:hAnsi="Calibri" w:cs="Times New Roman"/>
          <w:lang w:val="en-GB" w:eastAsia="zh-CN"/>
        </w:rPr>
        <w:t xml:space="preserve"> an integral and </w:t>
      </w:r>
      <w:r w:rsidR="000913B1" w:rsidRPr="00E76739">
        <w:rPr>
          <w:rFonts w:ascii="Calibri" w:eastAsia="Calibri" w:hAnsi="Calibri" w:cs="Times New Roman"/>
          <w:lang w:val="en-GB" w:eastAsia="zh-CN"/>
        </w:rPr>
        <w:t>ne</w:t>
      </w:r>
      <w:r w:rsidR="000913B1">
        <w:rPr>
          <w:rFonts w:ascii="Calibri" w:eastAsia="Calibri" w:hAnsi="Calibri" w:cs="Times New Roman"/>
          <w:lang w:val="en-GB" w:eastAsia="zh-CN"/>
        </w:rPr>
        <w:t>cessary</w:t>
      </w:r>
      <w:r w:rsidR="000913B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part of the French legal system.</w:t>
      </w:r>
    </w:p>
    <w:p w14:paraId="71C8A1B6" w14:textId="77777777" w:rsidR="00E76739" w:rsidRPr="00E76739" w:rsidRDefault="00E76739" w:rsidP="00E76739">
      <w:pPr>
        <w:spacing w:after="0" w:line="240" w:lineRule="auto"/>
        <w:jc w:val="both"/>
        <w:rPr>
          <w:rFonts w:ascii="Verdana" w:eastAsia="SimSun" w:hAnsi="Verdana" w:cs="Times New Roman"/>
          <w:b/>
          <w:lang w:val="en-GB" w:eastAsia="zh-CN"/>
        </w:rPr>
      </w:pPr>
    </w:p>
    <w:p w14:paraId="38F0B263" w14:textId="77777777" w:rsidR="00E76739" w:rsidRPr="00E76739" w:rsidRDefault="00E76739" w:rsidP="00E76739">
      <w:pPr>
        <w:spacing w:after="0" w:line="240" w:lineRule="auto"/>
        <w:jc w:val="both"/>
        <w:rPr>
          <w:rFonts w:ascii="Verdana" w:eastAsia="SimSun" w:hAnsi="Verdana" w:cs="Times New Roman"/>
          <w:b/>
          <w:lang w:val="en-GB" w:eastAsia="zh-CN"/>
        </w:rPr>
      </w:pPr>
    </w:p>
    <w:p w14:paraId="04F84FC4" w14:textId="77777777" w:rsidR="00E76739" w:rsidRPr="00E76739" w:rsidRDefault="00BA07A1" w:rsidP="00E76739">
      <w:pPr>
        <w:spacing w:after="0" w:line="240" w:lineRule="auto"/>
        <w:jc w:val="both"/>
        <w:rPr>
          <w:rFonts w:ascii="Calibri" w:eastAsia="SimSun" w:hAnsi="Calibri" w:cs="Times New Roman"/>
          <w:b/>
          <w:bCs/>
          <w:lang w:val="en-GB" w:eastAsia="zh-CN"/>
        </w:rPr>
      </w:pPr>
      <w:bookmarkStart w:id="35" w:name="_Toc341109086"/>
      <w:bookmarkStart w:id="36" w:name="_Toc341266526"/>
      <w:bookmarkStart w:id="37" w:name="_Toc341269281"/>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.5.10</w:t>
      </w:r>
      <w:r w:rsidR="00E76739" w:rsidRPr="00E76739">
        <w:rPr>
          <w:rFonts w:ascii="Calibri" w:eastAsia="SimSun" w:hAnsi="Calibri" w:cs="Times New Roman"/>
          <w:b/>
          <w:bCs/>
          <w:lang w:val="en-GB" w:eastAsia="zh-CN"/>
        </w:rPr>
        <w:tab/>
        <w:t xml:space="preserve"> Germany</w:t>
      </w:r>
      <w:bookmarkEnd w:id="35"/>
      <w:bookmarkEnd w:id="36"/>
      <w:bookmarkEnd w:id="37"/>
    </w:p>
    <w:p w14:paraId="4518D6D6"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64F6B844" w14:textId="280F8959"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Germany, the Federal </w:t>
      </w:r>
      <w:r w:rsidR="0035584D">
        <w:rPr>
          <w:rFonts w:ascii="Calibri" w:eastAsia="Calibri" w:hAnsi="Calibri" w:cs="Times New Roman"/>
          <w:lang w:val="en-GB" w:eastAsia="zh-CN"/>
        </w:rPr>
        <w:t>c</w:t>
      </w:r>
      <w:r w:rsidR="0035584D" w:rsidRPr="00E76739">
        <w:rPr>
          <w:rFonts w:ascii="Calibri" w:eastAsia="Calibri" w:hAnsi="Calibri" w:cs="Times New Roman"/>
          <w:lang w:val="en-GB" w:eastAsia="zh-CN"/>
        </w:rPr>
        <w:t xml:space="preserve">riminal </w:t>
      </w:r>
      <w:r w:rsidR="0035584D">
        <w:rPr>
          <w:rFonts w:ascii="Calibri" w:eastAsia="Calibri" w:hAnsi="Calibri" w:cs="Times New Roman"/>
          <w:lang w:val="en-GB" w:eastAsia="zh-CN"/>
        </w:rPr>
        <w:t>p</w:t>
      </w:r>
      <w:r w:rsidR="0035584D"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 xml:space="preserve">work in partnership with the police forces of the </w:t>
      </w:r>
      <w:r w:rsidR="00592AE3">
        <w:rPr>
          <w:rFonts w:ascii="Calibri" w:eastAsia="Calibri" w:hAnsi="Calibri" w:cs="Times New Roman"/>
          <w:lang w:val="en-GB" w:eastAsia="zh-CN"/>
        </w:rPr>
        <w:t>f</w:t>
      </w:r>
      <w:r w:rsidR="00592AE3" w:rsidRPr="00E76739">
        <w:rPr>
          <w:rFonts w:ascii="Calibri" w:eastAsia="Calibri" w:hAnsi="Calibri" w:cs="Times New Roman"/>
          <w:lang w:val="en-GB" w:eastAsia="zh-CN"/>
        </w:rPr>
        <w:t xml:space="preserve">ederation </w:t>
      </w:r>
      <w:r w:rsidRPr="00E76739">
        <w:rPr>
          <w:rFonts w:ascii="Calibri" w:eastAsia="Calibri" w:hAnsi="Calibri" w:cs="Times New Roman"/>
          <w:lang w:val="en-GB" w:eastAsia="zh-CN"/>
        </w:rPr>
        <w:t xml:space="preserve">and the </w:t>
      </w:r>
      <w:r w:rsidR="00592AE3">
        <w:rPr>
          <w:rFonts w:ascii="Calibri" w:eastAsia="Calibri" w:hAnsi="Calibri" w:cs="Times New Roman"/>
          <w:lang w:val="en-GB" w:eastAsia="zh-CN"/>
        </w:rPr>
        <w:t>s</w:t>
      </w:r>
      <w:r w:rsidR="00592AE3" w:rsidRPr="00E76739">
        <w:rPr>
          <w:rFonts w:ascii="Calibri" w:eastAsia="Calibri" w:hAnsi="Calibri" w:cs="Times New Roman"/>
          <w:lang w:val="en-GB" w:eastAsia="zh-CN"/>
        </w:rPr>
        <w:t xml:space="preserve">tates </w:t>
      </w:r>
      <w:r w:rsidRPr="00E76739">
        <w:rPr>
          <w:rFonts w:ascii="Calibri" w:eastAsia="Calibri" w:hAnsi="Calibri" w:cs="Times New Roman"/>
          <w:lang w:val="en-GB" w:eastAsia="zh-CN"/>
        </w:rPr>
        <w:t xml:space="preserve">and coordinate crime fighting at national and international level. According to the German representatives, the </w:t>
      </w:r>
      <w:r w:rsidR="00592AE3">
        <w:rPr>
          <w:rFonts w:ascii="Calibri" w:eastAsia="Calibri" w:hAnsi="Calibri" w:cs="Times New Roman"/>
          <w:lang w:val="en-GB" w:eastAsia="zh-CN"/>
        </w:rPr>
        <w:t>s</w:t>
      </w:r>
      <w:r w:rsidR="00592AE3" w:rsidRPr="00E76739">
        <w:rPr>
          <w:rFonts w:ascii="Calibri" w:eastAsia="Calibri" w:hAnsi="Calibri" w:cs="Times New Roman"/>
          <w:lang w:val="en-GB" w:eastAsia="zh-CN"/>
        </w:rPr>
        <w:t xml:space="preserve">tate </w:t>
      </w:r>
      <w:r w:rsidR="0035584D">
        <w:rPr>
          <w:rFonts w:ascii="Calibri" w:eastAsia="Calibri" w:hAnsi="Calibri" w:cs="Times New Roman"/>
          <w:lang w:val="en-GB" w:eastAsia="zh-CN"/>
        </w:rPr>
        <w:t>p</w:t>
      </w:r>
      <w:r w:rsidR="0035584D"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 xml:space="preserve">units are responsible for repressive enforcement within the </w:t>
      </w:r>
      <w:r w:rsidR="00592AE3">
        <w:rPr>
          <w:rFonts w:ascii="Calibri" w:eastAsia="Calibri" w:hAnsi="Calibri" w:cs="Times New Roman"/>
          <w:lang w:val="en-GB" w:eastAsia="zh-CN"/>
        </w:rPr>
        <w:t>s</w:t>
      </w:r>
      <w:r w:rsidR="00592AE3" w:rsidRPr="00E76739">
        <w:rPr>
          <w:rFonts w:ascii="Calibri" w:eastAsia="Calibri" w:hAnsi="Calibri" w:cs="Times New Roman"/>
          <w:lang w:val="en-GB" w:eastAsia="zh-CN"/>
        </w:rPr>
        <w:t xml:space="preserve">tate’s </w:t>
      </w:r>
      <w:r w:rsidRPr="00E76739">
        <w:rPr>
          <w:rFonts w:ascii="Calibri" w:eastAsia="Calibri" w:hAnsi="Calibri" w:cs="Times New Roman"/>
          <w:lang w:val="en-GB" w:eastAsia="zh-CN"/>
        </w:rPr>
        <w:t xml:space="preserve">jurisdiction and can conduct ML and TF investigations under the direction of the prosecution. </w:t>
      </w:r>
    </w:p>
    <w:p w14:paraId="6807F173" w14:textId="22B1711B"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Article 11 of the AML Act states that</w:t>
      </w:r>
      <w:r w:rsidR="0035584D">
        <w:rPr>
          <w:rFonts w:ascii="Calibri" w:eastAsia="Calibri" w:hAnsi="Calibri" w:cs="Times New Roman"/>
          <w:lang w:val="en-GB" w:eastAsia="zh-CN"/>
        </w:rPr>
        <w:t>,</w:t>
      </w:r>
      <w:r w:rsidRPr="00E76739">
        <w:rPr>
          <w:rFonts w:ascii="Calibri" w:eastAsia="Calibri" w:hAnsi="Calibri" w:cs="Times New Roman"/>
          <w:lang w:val="en-GB" w:eastAsia="zh-CN"/>
        </w:rPr>
        <w:t xml:space="preserve"> regardless of the amount involved, </w:t>
      </w:r>
      <w:r w:rsidR="0035584D">
        <w:rPr>
          <w:rFonts w:ascii="Calibri" w:eastAsia="Calibri" w:hAnsi="Calibri" w:cs="Times New Roman"/>
          <w:lang w:val="en-GB" w:eastAsia="zh-CN"/>
        </w:rPr>
        <w:t>‘</w:t>
      </w:r>
      <w:r w:rsidRPr="00E76739">
        <w:rPr>
          <w:rFonts w:ascii="Calibri" w:eastAsia="Calibri" w:hAnsi="Calibri" w:cs="Times New Roman"/>
          <w:lang w:val="en-GB" w:eastAsia="zh-CN"/>
        </w:rPr>
        <w:t>institutions and persons covered by the Act who have reason to believe that an offence under Section 261 of the Criminal Code or that terrorist financing has been or will be committed or attempted shall immediately inform the competent law enforcement agency orally, in writing or via electronic data transmission, with a copy to the Federal Criminal Police Office –</w:t>
      </w:r>
      <w:r w:rsidR="0035584D">
        <w:rPr>
          <w:rFonts w:ascii="Calibri" w:eastAsia="Calibri" w:hAnsi="Calibri" w:cs="Times New Roman"/>
          <w:lang w:val="en-GB" w:eastAsia="zh-CN"/>
        </w:rPr>
        <w:t xml:space="preserve"> </w:t>
      </w:r>
      <w:r w:rsidRPr="00E76739">
        <w:rPr>
          <w:rFonts w:ascii="Calibri" w:eastAsia="Calibri" w:hAnsi="Calibri" w:cs="Times New Roman"/>
          <w:lang w:val="en-GB" w:eastAsia="zh-CN"/>
        </w:rPr>
        <w:t>Financial Intelligence Unit</w:t>
      </w:r>
      <w:r w:rsidR="0035584D">
        <w:rPr>
          <w:rFonts w:ascii="Calibri" w:eastAsia="Calibri" w:hAnsi="Calibri" w:cs="Times New Roman"/>
          <w:lang w:val="en-GB" w:eastAsia="zh-CN"/>
        </w:rPr>
        <w:t>’</w:t>
      </w:r>
      <w:r w:rsidR="0035584D"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According to FATF (2010</w:t>
      </w:r>
      <w:r w:rsidR="00592AE3">
        <w:rPr>
          <w:rFonts w:ascii="Calibri" w:eastAsia="Calibri" w:hAnsi="Calibri" w:cs="Times New Roman"/>
          <w:lang w:val="en-GB" w:eastAsia="zh-CN"/>
        </w:rPr>
        <w:t>e</w:t>
      </w:r>
      <w:r w:rsidRPr="00E76739">
        <w:rPr>
          <w:rFonts w:ascii="Calibri" w:eastAsia="Calibri" w:hAnsi="Calibri" w:cs="Times New Roman"/>
          <w:lang w:val="en-GB" w:eastAsia="zh-CN"/>
        </w:rPr>
        <w:t>)</w:t>
      </w:r>
      <w:r w:rsidR="0035584D">
        <w:rPr>
          <w:rFonts w:ascii="Calibri" w:eastAsia="Calibri" w:hAnsi="Calibri" w:cs="Times New Roman"/>
          <w:lang w:val="en-GB" w:eastAsia="zh-CN"/>
        </w:rPr>
        <w:t>,</w:t>
      </w:r>
      <w:r w:rsidRPr="00E76739">
        <w:rPr>
          <w:rFonts w:ascii="Calibri" w:eastAsia="Calibri" w:hAnsi="Calibri" w:cs="Times New Roman"/>
          <w:lang w:val="en-GB" w:eastAsia="zh-CN"/>
        </w:rPr>
        <w:t xml:space="preserve"> the Land </w:t>
      </w:r>
      <w:r w:rsidR="0035584D">
        <w:rPr>
          <w:rFonts w:ascii="Calibri" w:eastAsia="Calibri" w:hAnsi="Calibri" w:cs="Times New Roman"/>
          <w:lang w:val="en-GB" w:eastAsia="zh-CN"/>
        </w:rPr>
        <w:t>p</w:t>
      </w:r>
      <w:r w:rsidR="0035584D" w:rsidRPr="00E76739">
        <w:rPr>
          <w:rFonts w:ascii="Calibri" w:eastAsia="Calibri" w:hAnsi="Calibri" w:cs="Times New Roman"/>
          <w:lang w:val="en-GB" w:eastAsia="zh-CN"/>
        </w:rPr>
        <w:t xml:space="preserve">olice </w:t>
      </w:r>
      <w:r w:rsidR="0035584D">
        <w:rPr>
          <w:rFonts w:ascii="Calibri" w:eastAsia="Calibri" w:hAnsi="Calibri" w:cs="Times New Roman"/>
          <w:lang w:val="en-GB" w:eastAsia="zh-CN"/>
        </w:rPr>
        <w:t>o</w:t>
      </w:r>
      <w:r w:rsidR="0035584D" w:rsidRPr="00E76739">
        <w:rPr>
          <w:rFonts w:ascii="Calibri" w:eastAsia="Calibri" w:hAnsi="Calibri" w:cs="Times New Roman"/>
          <w:lang w:val="en-GB" w:eastAsia="zh-CN"/>
        </w:rPr>
        <w:t xml:space="preserve">ffices </w:t>
      </w:r>
      <w:r w:rsidRPr="00E76739">
        <w:rPr>
          <w:rFonts w:ascii="Calibri" w:eastAsia="Calibri" w:hAnsi="Calibri" w:cs="Times New Roman"/>
          <w:lang w:val="en-GB" w:eastAsia="zh-CN"/>
        </w:rPr>
        <w:t>are the primary recipients of STRs in 14 states</w:t>
      </w:r>
      <w:r w:rsidR="0035584D">
        <w:rPr>
          <w:rFonts w:ascii="Calibri" w:eastAsia="Calibri" w:hAnsi="Calibri" w:cs="Times New Roman"/>
          <w:lang w:val="en-GB" w:eastAsia="zh-CN"/>
        </w:rPr>
        <w:t>,</w:t>
      </w:r>
      <w:r w:rsidRPr="00E76739">
        <w:rPr>
          <w:rFonts w:ascii="Calibri" w:eastAsia="Calibri" w:hAnsi="Calibri" w:cs="Times New Roman"/>
          <w:lang w:val="en-GB" w:eastAsia="zh-CN"/>
        </w:rPr>
        <w:t xml:space="preserve"> whereas the PPO is the primary recipient in Hesse and Bavaria. If a transaction involves two or more states, the reporting entities inform the LEAs of the two states as well as the FIU</w:t>
      </w:r>
      <w:r w:rsidR="0035584D">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30"/>
      </w:r>
      <w:r w:rsidRPr="00E76739">
        <w:rPr>
          <w:rFonts w:ascii="Calibri" w:eastAsia="Calibri" w:hAnsi="Calibri" w:cs="Times New Roman"/>
          <w:lang w:val="en-GB" w:eastAsia="zh-CN"/>
        </w:rPr>
        <w:t xml:space="preserve"> </w:t>
      </w:r>
    </w:p>
    <w:p w14:paraId="13C6C66F" w14:textId="0C4CE6E3" w:rsidR="00E76739" w:rsidRPr="00E76739" w:rsidRDefault="00E76739" w:rsidP="00E76739">
      <w:pPr>
        <w:spacing w:after="0" w:line="240" w:lineRule="auto"/>
        <w:jc w:val="center"/>
        <w:rPr>
          <w:rFonts w:ascii="Calibri" w:eastAsia="SimSun" w:hAnsi="Calibri" w:cs="Times New Roman"/>
          <w:b/>
          <w:lang w:val="en-GB" w:eastAsia="zh-CN"/>
        </w:rPr>
      </w:pPr>
      <w:bookmarkStart w:id="38" w:name="_Toc350517101"/>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FB3703" w:rsidRPr="00E76739">
        <w:rPr>
          <w:rFonts w:ascii="Calibri" w:eastAsia="SimSun" w:hAnsi="Calibri" w:cs="Times New Roman"/>
          <w:b/>
          <w:lang w:val="en-GB" w:eastAsia="zh-CN"/>
        </w:rPr>
        <w:t>1</w:t>
      </w:r>
      <w:r w:rsidR="00FB3703">
        <w:rPr>
          <w:rFonts w:ascii="Calibri" w:eastAsia="SimSun" w:hAnsi="Calibri" w:cs="Times New Roman"/>
          <w:b/>
          <w:lang w:val="en-GB" w:eastAsia="zh-CN"/>
        </w:rPr>
        <w:t>4</w:t>
      </w:r>
      <w:r w:rsidRPr="00E76739">
        <w:rPr>
          <w:rFonts w:ascii="Calibri" w:eastAsia="SimSun" w:hAnsi="Calibri" w:cs="Times New Roman"/>
          <w:b/>
          <w:lang w:val="en-GB" w:eastAsia="zh-CN"/>
        </w:rPr>
        <w:t>: AML/CTF Information flows in Germany</w:t>
      </w:r>
      <w:bookmarkEnd w:id="38"/>
    </w:p>
    <w:p w14:paraId="4BB75B41"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543498AA" w14:textId="77777777" w:rsidR="00E76739" w:rsidRPr="00E76739" w:rsidRDefault="00E76739" w:rsidP="00E76739">
      <w:pPr>
        <w:spacing w:after="0" w:line="240" w:lineRule="auto"/>
        <w:jc w:val="both"/>
        <w:rPr>
          <w:rFonts w:ascii="Calibri" w:eastAsia="SimSun" w:hAnsi="Calibri" w:cs="Times New Roman"/>
          <w:b/>
          <w:lang w:val="en-GB" w:eastAsia="zh-CN"/>
        </w:rPr>
      </w:pPr>
    </w:p>
    <w:p w14:paraId="00D1999D" w14:textId="77777777" w:rsidR="00E76739" w:rsidRPr="00E76739" w:rsidRDefault="00E76739" w:rsidP="00E76739">
      <w:pPr>
        <w:spacing w:after="0" w:line="240" w:lineRule="auto"/>
        <w:jc w:val="both"/>
        <w:rPr>
          <w:rFonts w:ascii="Calibri" w:eastAsia="Calibri" w:hAnsi="Calibri" w:cs="Times New Roman"/>
          <w:b/>
          <w:u w:val="single"/>
          <w:lang w:val="en-GB" w:eastAsia="zh-CN"/>
        </w:rPr>
      </w:pPr>
      <w:r w:rsidRPr="00E76739">
        <w:rPr>
          <w:rFonts w:ascii="Calibri" w:eastAsia="Calibri" w:hAnsi="Calibri" w:cs="Times New Roman"/>
          <w:b/>
          <w:noProof/>
          <w:lang w:val="en-US" w:eastAsia="en-US"/>
        </w:rPr>
        <w:drawing>
          <wp:inline distT="0" distB="0" distL="0" distR="0" wp14:anchorId="38AA5CB3" wp14:editId="7AB3114C">
            <wp:extent cx="6019800" cy="3076575"/>
            <wp:effectExtent l="0" t="0" r="0" b="9525"/>
            <wp:docPr id="29" name="Picture 146" descr="GerrmanyInformationFlow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errmanyInformationFlow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l="5275" t="12308" r="8786" b="31590"/>
                    <a:stretch>
                      <a:fillRect/>
                    </a:stretch>
                  </pic:blipFill>
                  <pic:spPr bwMode="auto">
                    <a:xfrm>
                      <a:off x="0" y="0"/>
                      <a:ext cx="6019800" cy="3076575"/>
                    </a:xfrm>
                    <a:prstGeom prst="rect">
                      <a:avLst/>
                    </a:prstGeom>
                    <a:noFill/>
                    <a:ln>
                      <a:noFill/>
                    </a:ln>
                  </pic:spPr>
                </pic:pic>
              </a:graphicData>
            </a:graphic>
          </wp:inline>
        </w:drawing>
      </w:r>
      <w:r w:rsidR="008C4195">
        <w:rPr>
          <w:rStyle w:val="CommentReference"/>
        </w:rPr>
        <w:commentReference w:id="39"/>
      </w:r>
    </w:p>
    <w:p w14:paraId="03FEC613" w14:textId="72447901" w:rsidR="00E76739" w:rsidRPr="00E76739" w:rsidRDefault="00E76739" w:rsidP="00E76739">
      <w:pPr>
        <w:spacing w:after="240" w:line="240" w:lineRule="auto"/>
        <w:jc w:val="both"/>
        <w:rPr>
          <w:rFonts w:ascii="Calibri" w:eastAsia="Calibri" w:hAnsi="Calibri" w:cs="Times New Roman"/>
          <w:i/>
          <w:sz w:val="20"/>
          <w:szCs w:val="20"/>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370DD3">
        <w:rPr>
          <w:rFonts w:ascii="Calibri" w:eastAsia="Calibri" w:hAnsi="Calibri" w:cs="Times New Roman"/>
          <w:i/>
          <w:sz w:val="20"/>
          <w:szCs w:val="20"/>
          <w:lang w:val="en-GB" w:eastAsia="zh-CN"/>
        </w:rPr>
        <w:t>both</w:t>
      </w:r>
      <w:r w:rsidR="00370DD3"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370DD3" w:rsidRPr="00E76739">
        <w:rPr>
          <w:rFonts w:ascii="Calibri" w:eastAsia="Calibri" w:hAnsi="Calibri" w:cs="Times New Roman"/>
          <w:i/>
          <w:sz w:val="20"/>
          <w:szCs w:val="20"/>
          <w:lang w:val="en-GB" w:eastAsia="zh-CN"/>
        </w:rPr>
        <w:t>speciali</w:t>
      </w:r>
      <w:r w:rsidR="00370DD3">
        <w:rPr>
          <w:rFonts w:ascii="Calibri" w:eastAsia="Calibri" w:hAnsi="Calibri" w:cs="Times New Roman"/>
          <w:i/>
          <w:sz w:val="20"/>
          <w:szCs w:val="20"/>
          <w:lang w:val="en-GB" w:eastAsia="zh-CN"/>
        </w:rPr>
        <w:t>z</w:t>
      </w:r>
      <w:r w:rsidR="00370DD3"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 xml:space="preserve">in dealing with ML/TF cases. Pink clouds designate the ML/TF database simultaneously available to multiple agencies (law enforcement and FIU) that is commonly used as </w:t>
      </w:r>
      <w:r w:rsidR="00CA7470">
        <w:rPr>
          <w:rFonts w:ascii="Calibri" w:eastAsia="Calibri" w:hAnsi="Calibri" w:cs="Times New Roman"/>
          <w:i/>
          <w:sz w:val="20"/>
          <w:szCs w:val="20"/>
          <w:lang w:val="en-GB" w:eastAsia="zh-CN"/>
        </w:rPr>
        <w:t xml:space="preserve">the </w:t>
      </w:r>
      <w:r w:rsidR="00370DD3" w:rsidRPr="00E76739">
        <w:rPr>
          <w:rFonts w:ascii="Calibri" w:eastAsia="Calibri" w:hAnsi="Calibri" w:cs="Times New Roman"/>
          <w:i/>
          <w:sz w:val="20"/>
          <w:szCs w:val="20"/>
          <w:lang w:val="en-GB" w:eastAsia="zh-CN"/>
        </w:rPr>
        <w:t>depart</w:t>
      </w:r>
      <w:r w:rsidR="00370DD3">
        <w:rPr>
          <w:rFonts w:ascii="Calibri" w:eastAsia="Calibri" w:hAnsi="Calibri" w:cs="Times New Roman"/>
          <w:i/>
          <w:sz w:val="20"/>
          <w:szCs w:val="20"/>
          <w:lang w:val="en-GB" w:eastAsia="zh-CN"/>
        </w:rPr>
        <w:t>ure</w:t>
      </w:r>
      <w:r w:rsidR="00370DD3"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point for ML/TF criminal investigations.</w:t>
      </w:r>
    </w:p>
    <w:p w14:paraId="6001768E" w14:textId="1A4ED663"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Germany confirming and elaborating suspicions of ML or terrorism financing, and determining whether a report should be disseminated to law enforcement bodies for investigation and prosecution, is done in collaboration (FIU and LEA). This is because of the more elaborate data access system that the federal and the state police units have. Once the STRs have reached the local LEAs, the latter add the newly acquired information to the STR database, and here </w:t>
      </w:r>
      <w:r w:rsidR="0064050B" w:rsidRPr="00E76739">
        <w:rPr>
          <w:rFonts w:ascii="Calibri" w:eastAsia="Calibri" w:hAnsi="Calibri" w:cs="Times New Roman"/>
          <w:lang w:val="en-GB" w:eastAsia="zh-CN"/>
        </w:rPr>
        <w:t>data</w:t>
      </w:r>
      <w:r w:rsidR="0064050B">
        <w:rPr>
          <w:rFonts w:ascii="Calibri" w:eastAsia="Calibri" w:hAnsi="Calibri" w:cs="Times New Roman"/>
          <w:lang w:val="en-GB" w:eastAsia="zh-CN"/>
        </w:rPr>
        <w:t>-</w:t>
      </w:r>
      <w:r w:rsidRPr="00E76739">
        <w:rPr>
          <w:rFonts w:ascii="Calibri" w:eastAsia="Calibri" w:hAnsi="Calibri" w:cs="Times New Roman"/>
          <w:lang w:val="en-GB" w:eastAsia="zh-CN"/>
        </w:rPr>
        <w:t xml:space="preserve">mining systems </w:t>
      </w:r>
      <w:r w:rsidR="0064050B" w:rsidRPr="00E76739">
        <w:rPr>
          <w:rFonts w:ascii="Calibri" w:eastAsia="Calibri" w:hAnsi="Calibri" w:cs="Times New Roman"/>
          <w:lang w:val="en-GB" w:eastAsia="zh-CN"/>
        </w:rPr>
        <w:t>cross</w:t>
      </w:r>
      <w:r w:rsidR="0064050B">
        <w:rPr>
          <w:rFonts w:ascii="Calibri" w:eastAsia="Calibri" w:hAnsi="Calibri" w:cs="Times New Roman"/>
          <w:lang w:val="en-GB" w:eastAsia="zh-CN"/>
        </w:rPr>
        <w:t>-</w:t>
      </w:r>
      <w:r w:rsidRPr="00E76739">
        <w:rPr>
          <w:rFonts w:ascii="Calibri" w:eastAsia="Calibri" w:hAnsi="Calibri" w:cs="Times New Roman"/>
          <w:lang w:val="en-GB" w:eastAsia="zh-CN"/>
        </w:rPr>
        <w:t xml:space="preserve">check it with other available intelligence. The FIU can </w:t>
      </w:r>
      <w:r w:rsidR="0064050B" w:rsidRPr="00E76739">
        <w:rPr>
          <w:rFonts w:ascii="Calibri" w:eastAsia="Calibri" w:hAnsi="Calibri" w:cs="Times New Roman"/>
          <w:lang w:val="en-GB" w:eastAsia="zh-CN"/>
        </w:rPr>
        <w:t>cross</w:t>
      </w:r>
      <w:r w:rsidR="0064050B">
        <w:rPr>
          <w:rFonts w:ascii="Calibri" w:eastAsia="Calibri" w:hAnsi="Calibri" w:cs="Times New Roman"/>
          <w:lang w:val="en-GB" w:eastAsia="zh-CN"/>
        </w:rPr>
        <w:t>-</w:t>
      </w:r>
      <w:r w:rsidRPr="00E76739">
        <w:rPr>
          <w:rFonts w:ascii="Calibri" w:eastAsia="Calibri" w:hAnsi="Calibri" w:cs="Times New Roman"/>
          <w:lang w:val="en-GB" w:eastAsia="zh-CN"/>
        </w:rPr>
        <w:t xml:space="preserve">check </w:t>
      </w:r>
      <w:r w:rsidR="00592AE3">
        <w:rPr>
          <w:rFonts w:ascii="Calibri" w:eastAsia="Calibri" w:hAnsi="Calibri" w:cs="Times New Roman"/>
          <w:lang w:val="en-GB" w:eastAsia="zh-CN"/>
        </w:rPr>
        <w:t xml:space="preserve">the information </w:t>
      </w:r>
      <w:r w:rsidRPr="00E76739">
        <w:rPr>
          <w:rFonts w:ascii="Calibri" w:eastAsia="Calibri" w:hAnsi="Calibri" w:cs="Times New Roman"/>
          <w:lang w:val="en-GB" w:eastAsia="zh-CN"/>
        </w:rPr>
        <w:t>with other national and international databases</w:t>
      </w:r>
      <w:r w:rsidRPr="00E76739">
        <w:rPr>
          <w:rFonts w:ascii="Calibri" w:eastAsia="Calibri" w:hAnsi="Calibri" w:cs="Times New Roman"/>
          <w:vertAlign w:val="superscript"/>
          <w:lang w:val="en-GB" w:eastAsia="zh-CN"/>
        </w:rPr>
        <w:footnoteReference w:id="31"/>
      </w:r>
      <w:r w:rsidRPr="00E76739">
        <w:rPr>
          <w:rFonts w:ascii="Calibri" w:eastAsia="Calibri" w:hAnsi="Calibri" w:cs="Times New Roman"/>
          <w:lang w:val="en-GB" w:eastAsia="zh-CN"/>
        </w:rPr>
        <w:t xml:space="preserve"> and</w:t>
      </w:r>
      <w:r w:rsidR="0064050B">
        <w:rPr>
          <w:rFonts w:ascii="Calibri" w:eastAsia="Calibri" w:hAnsi="Calibri" w:cs="Times New Roman"/>
          <w:lang w:val="en-GB" w:eastAsia="zh-CN"/>
        </w:rPr>
        <w:t>,</w:t>
      </w:r>
      <w:r w:rsidRPr="00E76739">
        <w:rPr>
          <w:rFonts w:ascii="Calibri" w:eastAsia="Calibri" w:hAnsi="Calibri" w:cs="Times New Roman"/>
          <w:lang w:val="en-GB" w:eastAsia="zh-CN"/>
        </w:rPr>
        <w:t xml:space="preserve"> if a match is found, the FIU can coordinate the work of the criminal police </w:t>
      </w:r>
      <w:r w:rsidR="0064050B">
        <w:rPr>
          <w:rFonts w:ascii="Calibri" w:eastAsia="Calibri" w:hAnsi="Calibri" w:cs="Times New Roman"/>
          <w:lang w:val="en-GB" w:eastAsia="zh-CN"/>
        </w:rPr>
        <w:t>who</w:t>
      </w:r>
      <w:r w:rsidR="0064050B"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will investigate further</w:t>
      </w:r>
      <w:r w:rsidR="0064050B">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32"/>
      </w:r>
      <w:r w:rsidRPr="00E76739">
        <w:rPr>
          <w:rFonts w:ascii="Calibri" w:eastAsia="Calibri" w:hAnsi="Calibri" w:cs="Times New Roman"/>
          <w:lang w:val="en-GB" w:eastAsia="zh-CN"/>
        </w:rPr>
        <w:t xml:space="preserve"> Furthermore, the FIU’s expertise can be used for evidential purposes: the FIU has to </w:t>
      </w:r>
      <w:r w:rsidR="0064050B">
        <w:rPr>
          <w:rFonts w:ascii="Calibri" w:eastAsia="Calibri" w:hAnsi="Calibri" w:cs="Times New Roman"/>
          <w:lang w:val="en-GB" w:eastAsia="zh-CN"/>
        </w:rPr>
        <w:t>‘</w:t>
      </w:r>
      <w:r w:rsidRPr="00E76739">
        <w:rPr>
          <w:rFonts w:ascii="Calibri" w:eastAsia="Calibri" w:hAnsi="Calibri" w:cs="Times New Roman"/>
          <w:lang w:val="en-GB" w:eastAsia="zh-CN"/>
        </w:rPr>
        <w:t>provide identification reports and forensic expert opinions for penal proceedings</w:t>
      </w:r>
      <w:r w:rsidR="0064050B">
        <w:rPr>
          <w:rFonts w:ascii="Calibri" w:eastAsia="Calibri" w:hAnsi="Calibri" w:cs="Times New Roman"/>
          <w:lang w:val="en-GB" w:eastAsia="zh-CN"/>
        </w:rPr>
        <w:t>’</w:t>
      </w:r>
      <w:r w:rsidR="0064050B"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if requested by police services, public prosecutor</w:t>
      </w:r>
      <w:r w:rsidR="0064050B">
        <w:rPr>
          <w:rFonts w:ascii="Calibri" w:eastAsia="Calibri" w:hAnsi="Calibri" w:cs="Times New Roman"/>
          <w:lang w:val="en-GB" w:eastAsia="zh-CN"/>
        </w:rPr>
        <w:t>’</w:t>
      </w:r>
      <w:r w:rsidRPr="00E76739">
        <w:rPr>
          <w:rFonts w:ascii="Calibri" w:eastAsia="Calibri" w:hAnsi="Calibri" w:cs="Times New Roman"/>
          <w:lang w:val="en-GB" w:eastAsia="zh-CN"/>
        </w:rPr>
        <w:t>s offices and courts</w:t>
      </w:r>
      <w:r w:rsidR="0064050B">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33"/>
      </w:r>
    </w:p>
    <w:p w14:paraId="332E1F01" w14:textId="39C6CBED" w:rsidR="00E76739" w:rsidRPr="00E76739" w:rsidRDefault="00E76739" w:rsidP="00E76739">
      <w:pPr>
        <w:spacing w:after="240" w:line="240" w:lineRule="auto"/>
        <w:jc w:val="both"/>
        <w:rPr>
          <w:rFonts w:ascii="Calibri" w:eastAsia="Calibri" w:hAnsi="Calibri" w:cs="Calibri"/>
          <w:lang w:val="en-GB" w:eastAsia="zh-CN"/>
        </w:rPr>
      </w:pPr>
      <w:r w:rsidRPr="00E76739">
        <w:rPr>
          <w:rFonts w:ascii="Calibri" w:eastAsia="Calibri" w:hAnsi="Calibri" w:cs="Times New Roman"/>
          <w:lang w:val="en-GB" w:eastAsia="zh-CN"/>
        </w:rPr>
        <w:t>The first analysis of the STR is called</w:t>
      </w:r>
      <w:r w:rsidR="00DA07F4">
        <w:rPr>
          <w:rFonts w:ascii="Calibri" w:eastAsia="Calibri" w:hAnsi="Calibri" w:cs="Times New Roman"/>
          <w:lang w:val="en-GB" w:eastAsia="zh-CN"/>
        </w:rPr>
        <w:t xml:space="preserve"> </w:t>
      </w:r>
      <w:r w:rsidR="0064050B">
        <w:rPr>
          <w:rFonts w:ascii="Calibri" w:eastAsia="Calibri" w:hAnsi="Calibri" w:cs="Times New Roman"/>
          <w:lang w:val="en-GB" w:eastAsia="zh-CN"/>
        </w:rPr>
        <w:t xml:space="preserve">the </w:t>
      </w:r>
      <w:r w:rsidRPr="00E76739">
        <w:rPr>
          <w:rFonts w:ascii="Calibri" w:eastAsia="Calibri" w:hAnsi="Calibri" w:cs="Times New Roman"/>
          <w:lang w:val="en-GB" w:eastAsia="zh-CN"/>
        </w:rPr>
        <w:t>‘clearing process’ and</w:t>
      </w:r>
      <w:r w:rsidR="0064050B">
        <w:rPr>
          <w:rFonts w:ascii="Calibri" w:eastAsia="Calibri" w:hAnsi="Calibri" w:cs="Times New Roman"/>
          <w:lang w:val="en-GB" w:eastAsia="zh-CN"/>
        </w:rPr>
        <w:t>,</w:t>
      </w:r>
      <w:r w:rsidRPr="00E76739">
        <w:rPr>
          <w:rFonts w:ascii="Calibri" w:eastAsia="Calibri" w:hAnsi="Calibri" w:cs="Times New Roman"/>
          <w:lang w:val="en-GB" w:eastAsia="zh-CN"/>
        </w:rPr>
        <w:t xml:space="preserve"> depending on the outcome, the intelligence will be forwarded to one or more </w:t>
      </w:r>
      <w:r w:rsidR="0064050B">
        <w:rPr>
          <w:rFonts w:ascii="Calibri" w:eastAsia="Calibri" w:hAnsi="Calibri" w:cs="Times New Roman"/>
          <w:lang w:val="en-GB" w:eastAsia="zh-CN"/>
        </w:rPr>
        <w:t>s</w:t>
      </w:r>
      <w:r w:rsidR="0064050B" w:rsidRPr="00E76739">
        <w:rPr>
          <w:rFonts w:ascii="Calibri" w:eastAsia="Calibri" w:hAnsi="Calibri" w:cs="Times New Roman"/>
          <w:lang w:val="en-GB" w:eastAsia="zh-CN"/>
        </w:rPr>
        <w:t xml:space="preserve">tate </w:t>
      </w:r>
      <w:r w:rsidRPr="00E76739">
        <w:rPr>
          <w:rFonts w:ascii="Calibri" w:eastAsia="Calibri" w:hAnsi="Calibri" w:cs="Times New Roman"/>
          <w:lang w:val="en-GB" w:eastAsia="zh-CN"/>
        </w:rPr>
        <w:t xml:space="preserve">police units under the supervision of the local PPO, to the </w:t>
      </w:r>
      <w:r w:rsidR="0064050B">
        <w:rPr>
          <w:rFonts w:ascii="Calibri" w:eastAsia="Calibri" w:hAnsi="Calibri" w:cs="Times New Roman"/>
          <w:lang w:val="en-GB" w:eastAsia="zh-CN"/>
        </w:rPr>
        <w:t>c</w:t>
      </w:r>
      <w:r w:rsidR="0064050B" w:rsidRPr="00E76739">
        <w:rPr>
          <w:rFonts w:ascii="Calibri" w:eastAsia="Calibri" w:hAnsi="Calibri" w:cs="Times New Roman"/>
          <w:lang w:val="en-GB" w:eastAsia="zh-CN"/>
        </w:rPr>
        <w:t xml:space="preserve">ustoms </w:t>
      </w:r>
      <w:r w:rsidRPr="00E76739">
        <w:rPr>
          <w:rFonts w:ascii="Calibri" w:eastAsia="Calibri" w:hAnsi="Calibri" w:cs="Times New Roman"/>
          <w:lang w:val="en-GB" w:eastAsia="zh-CN"/>
        </w:rPr>
        <w:t xml:space="preserve">investigation offices, to the BKA (when it concerns TF) or to the </w:t>
      </w:r>
      <w:r w:rsidR="0064050B">
        <w:rPr>
          <w:rFonts w:ascii="Calibri" w:eastAsia="Calibri" w:hAnsi="Calibri" w:cs="Times New Roman"/>
          <w:lang w:val="en-GB" w:eastAsia="zh-CN"/>
        </w:rPr>
        <w:t>t</w:t>
      </w:r>
      <w:r w:rsidR="0064050B" w:rsidRPr="00E76739">
        <w:rPr>
          <w:rFonts w:ascii="Calibri" w:eastAsia="Calibri" w:hAnsi="Calibri" w:cs="Times New Roman"/>
          <w:lang w:val="en-GB" w:eastAsia="zh-CN"/>
        </w:rPr>
        <w:t xml:space="preserve">ax </w:t>
      </w:r>
      <w:r w:rsidRPr="00E76739">
        <w:rPr>
          <w:rFonts w:ascii="Calibri" w:eastAsia="Calibri" w:hAnsi="Calibri" w:cs="Times New Roman"/>
          <w:lang w:val="en-GB" w:eastAsia="zh-CN"/>
        </w:rPr>
        <w:t>administration.</w:t>
      </w:r>
      <w:r w:rsidR="00DA07F4">
        <w:rPr>
          <w:rFonts w:ascii="Calibri" w:eastAsia="Calibri" w:hAnsi="Calibri" w:cs="Times New Roman"/>
          <w:lang w:val="en-GB" w:eastAsia="zh-CN"/>
        </w:rPr>
        <w:t xml:space="preserve"> </w:t>
      </w:r>
    </w:p>
    <w:p w14:paraId="0B6835CB" w14:textId="3D8BABDE"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According to FATF (2010</w:t>
      </w:r>
      <w:r w:rsidR="00592AE3">
        <w:rPr>
          <w:rFonts w:ascii="Calibri" w:eastAsia="Calibri" w:hAnsi="Calibri" w:cs="Times New Roman"/>
          <w:lang w:val="en-GB" w:eastAsia="zh-CN"/>
        </w:rPr>
        <w:t>e</w:t>
      </w:r>
      <w:r w:rsidRPr="00E76739">
        <w:rPr>
          <w:rFonts w:ascii="Calibri" w:eastAsia="Calibri" w:hAnsi="Calibri" w:cs="Times New Roman"/>
          <w:lang w:val="en-GB" w:eastAsia="zh-CN"/>
        </w:rPr>
        <w:t xml:space="preserve">), as soon as an STR </w:t>
      </w:r>
      <w:r w:rsidR="00C60D57">
        <w:rPr>
          <w:rFonts w:ascii="Calibri" w:eastAsia="Calibri" w:hAnsi="Calibri" w:cs="Times New Roman"/>
          <w:lang w:val="en-GB" w:eastAsia="zh-CN"/>
        </w:rPr>
        <w:t>may</w:t>
      </w:r>
      <w:r w:rsidR="00C60D57"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be important for the tax authorities </w:t>
      </w:r>
      <w:r w:rsidR="00C60D57">
        <w:rPr>
          <w:rFonts w:ascii="Calibri" w:eastAsia="Calibri" w:hAnsi="Calibri" w:cs="Times New Roman"/>
          <w:lang w:val="en-GB" w:eastAsia="zh-CN"/>
        </w:rPr>
        <w:t>in</w:t>
      </w:r>
      <w:r w:rsidR="00C60D57" w:rsidRPr="00E76739">
        <w:rPr>
          <w:rFonts w:ascii="Calibri" w:eastAsia="Calibri" w:hAnsi="Calibri" w:cs="Times New Roman"/>
          <w:lang w:val="en-GB" w:eastAsia="zh-CN"/>
        </w:rPr>
        <w:t xml:space="preserve"> initiat</w:t>
      </w:r>
      <w:r w:rsidR="00C60D57">
        <w:rPr>
          <w:rFonts w:ascii="Calibri" w:eastAsia="Calibri" w:hAnsi="Calibri" w:cs="Times New Roman"/>
          <w:lang w:val="en-GB" w:eastAsia="zh-CN"/>
        </w:rPr>
        <w:t>ing</w:t>
      </w:r>
      <w:r w:rsidR="00C60D57"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or conduct</w:t>
      </w:r>
      <w:r w:rsidR="00C60D57">
        <w:rPr>
          <w:rFonts w:ascii="Calibri" w:eastAsia="Calibri" w:hAnsi="Calibri" w:cs="Times New Roman"/>
          <w:lang w:val="en-GB" w:eastAsia="zh-CN"/>
        </w:rPr>
        <w:t>ing</w:t>
      </w:r>
      <w:r w:rsidRPr="00E76739">
        <w:rPr>
          <w:rFonts w:ascii="Calibri" w:eastAsia="Calibri" w:hAnsi="Calibri" w:cs="Times New Roman"/>
          <w:lang w:val="en-GB" w:eastAsia="zh-CN"/>
        </w:rPr>
        <w:t xml:space="preserve"> tax assessment or tax-related criminal proceedings, the FIU shall notify them. The FIU also forwards all </w:t>
      </w:r>
      <w:r w:rsidR="0064050B" w:rsidRPr="00E76739">
        <w:rPr>
          <w:rFonts w:ascii="Calibri" w:eastAsia="Calibri" w:hAnsi="Calibri" w:cs="Times New Roman"/>
          <w:lang w:val="en-GB" w:eastAsia="zh-CN"/>
        </w:rPr>
        <w:t>TF</w:t>
      </w:r>
      <w:r w:rsidR="0064050B">
        <w:rPr>
          <w:rFonts w:ascii="Calibri" w:eastAsia="Calibri" w:hAnsi="Calibri" w:cs="Times New Roman"/>
          <w:lang w:val="en-GB" w:eastAsia="zh-CN"/>
        </w:rPr>
        <w:t>-</w:t>
      </w:r>
      <w:r w:rsidRPr="00E76739">
        <w:rPr>
          <w:rFonts w:ascii="Calibri" w:eastAsia="Calibri" w:hAnsi="Calibri" w:cs="Times New Roman"/>
          <w:lang w:val="en-GB" w:eastAsia="zh-CN"/>
        </w:rPr>
        <w:t xml:space="preserve">related STRs to the </w:t>
      </w:r>
      <w:r w:rsidR="0064050B" w:rsidRPr="00E76739">
        <w:rPr>
          <w:rFonts w:ascii="Calibri" w:eastAsia="Calibri" w:hAnsi="Calibri" w:cs="Times New Roman"/>
          <w:lang w:val="en-GB" w:eastAsia="zh-CN"/>
        </w:rPr>
        <w:t>speciali</w:t>
      </w:r>
      <w:r w:rsidR="0064050B">
        <w:rPr>
          <w:rFonts w:ascii="Calibri" w:eastAsia="Calibri" w:hAnsi="Calibri" w:cs="Times New Roman"/>
          <w:lang w:val="en-GB" w:eastAsia="zh-CN"/>
        </w:rPr>
        <w:t>z</w:t>
      </w:r>
      <w:r w:rsidR="0064050B"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Terrorist Financing Unit of the BKA. Furthermore, to avoid delays, the FIU database is also available to three TF investigators</w:t>
      </w:r>
      <w:r w:rsidR="0064050B">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34"/>
      </w:r>
      <w:r w:rsidRPr="00E76739">
        <w:rPr>
          <w:rFonts w:ascii="Calibri" w:eastAsia="Calibri" w:hAnsi="Calibri" w:cs="Times New Roman"/>
          <w:lang w:val="en-GB" w:eastAsia="zh-CN"/>
        </w:rPr>
        <w:t xml:space="preserve"> According to FATF (2010</w:t>
      </w:r>
      <w:r w:rsidR="00A1059B">
        <w:rPr>
          <w:rFonts w:ascii="Calibri" w:eastAsia="Calibri" w:hAnsi="Calibri" w:cs="Times New Roman"/>
          <w:lang w:val="en-GB" w:eastAsia="zh-CN"/>
        </w:rPr>
        <w:t>e</w:t>
      </w:r>
      <w:r w:rsidRPr="00E76739">
        <w:rPr>
          <w:rFonts w:ascii="Calibri" w:eastAsia="Calibri" w:hAnsi="Calibri" w:cs="Times New Roman"/>
          <w:lang w:val="en-GB" w:eastAsia="zh-CN"/>
        </w:rPr>
        <w:t>), customs investigation officers are investigating officers of the PPO and have the same rights and duties as police officers. They are the competent criminal prosecution office</w:t>
      </w:r>
      <w:r w:rsidR="00A1059B">
        <w:rPr>
          <w:rFonts w:ascii="Calibri" w:eastAsia="Calibri" w:hAnsi="Calibri" w:cs="Times New Roman"/>
          <w:lang w:val="en-GB" w:eastAsia="zh-CN"/>
        </w:rPr>
        <w:t>r</w:t>
      </w:r>
      <w:r w:rsidRPr="00E76739">
        <w:rPr>
          <w:rFonts w:ascii="Calibri" w:eastAsia="Calibri" w:hAnsi="Calibri" w:cs="Times New Roman"/>
          <w:lang w:val="en-GB" w:eastAsia="zh-CN"/>
        </w:rPr>
        <w:t xml:space="preserve">s when investigating and prosecuting </w:t>
      </w:r>
      <w:r w:rsidR="00C60D57">
        <w:rPr>
          <w:rFonts w:ascii="Calibri" w:eastAsia="Calibri" w:hAnsi="Calibri" w:cs="Times New Roman"/>
          <w:lang w:val="en-GB" w:eastAsia="zh-CN"/>
        </w:rPr>
        <w:t>‘</w:t>
      </w:r>
      <w:r w:rsidRPr="00E76739">
        <w:rPr>
          <w:rFonts w:ascii="Calibri" w:eastAsia="Calibri" w:hAnsi="Calibri" w:cs="Times New Roman"/>
          <w:lang w:val="en-GB" w:eastAsia="zh-CN"/>
        </w:rPr>
        <w:t>internationally-organised ML and related criminal offences to the extent that these are connected to the movement of goods from and to external territories</w:t>
      </w:r>
      <w:r w:rsidR="00C60D57">
        <w:rPr>
          <w:rFonts w:ascii="Calibri" w:eastAsia="Calibri" w:hAnsi="Calibri" w:cs="Times New Roman"/>
          <w:lang w:val="en-GB" w:eastAsia="zh-CN"/>
        </w:rPr>
        <w:t>’</w:t>
      </w:r>
      <w:r w:rsidR="00C60D57" w:rsidRPr="00E76739">
        <w:rPr>
          <w:rFonts w:ascii="Calibri" w:eastAsia="Calibri" w:hAnsi="Calibri" w:cs="Times New Roman"/>
          <w:lang w:val="en-GB" w:eastAsia="zh-CN"/>
        </w:rPr>
        <w:t>.</w:t>
      </w:r>
    </w:p>
    <w:p w14:paraId="37E46AB6" w14:textId="4803DA2A"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According to </w:t>
      </w:r>
      <w:r w:rsidR="00F17AB6">
        <w:rPr>
          <w:rFonts w:ascii="Calibri" w:eastAsia="Calibri" w:hAnsi="Calibri" w:cs="Times New Roman"/>
          <w:lang w:val="en-GB" w:eastAsia="zh-CN"/>
        </w:rPr>
        <w:t>A</w:t>
      </w:r>
      <w:r w:rsidR="00F17AB6" w:rsidRPr="00E76739">
        <w:rPr>
          <w:rFonts w:ascii="Calibri" w:eastAsia="Calibri" w:hAnsi="Calibri" w:cs="Times New Roman"/>
          <w:lang w:val="en-GB" w:eastAsia="zh-CN"/>
        </w:rPr>
        <w:t xml:space="preserve">rticle </w:t>
      </w:r>
      <w:r w:rsidRPr="00E76739">
        <w:rPr>
          <w:rFonts w:ascii="Calibri" w:eastAsia="Calibri" w:hAnsi="Calibri" w:cs="Times New Roman"/>
          <w:lang w:val="en-GB" w:eastAsia="zh-CN"/>
        </w:rPr>
        <w:t xml:space="preserve">11 of the AML </w:t>
      </w:r>
      <w:r w:rsidR="00F17AB6">
        <w:rPr>
          <w:rFonts w:ascii="Calibri" w:eastAsia="Calibri" w:hAnsi="Calibri" w:cs="Times New Roman"/>
          <w:lang w:val="en-GB" w:eastAsia="zh-CN"/>
        </w:rPr>
        <w:t>A</w:t>
      </w:r>
      <w:r w:rsidR="00F17AB6" w:rsidRPr="00E76739">
        <w:rPr>
          <w:rFonts w:ascii="Calibri" w:eastAsia="Calibri" w:hAnsi="Calibri" w:cs="Times New Roman"/>
          <w:lang w:val="en-GB" w:eastAsia="zh-CN"/>
        </w:rPr>
        <w:t>ct</w:t>
      </w:r>
      <w:r w:rsidRPr="00E76739">
        <w:rPr>
          <w:rFonts w:ascii="Calibri" w:eastAsia="Calibri" w:hAnsi="Calibri" w:cs="Times New Roman"/>
          <w:lang w:val="en-GB" w:eastAsia="zh-CN"/>
        </w:rPr>
        <w:t xml:space="preserve">, the competent PPO shall inform the FIU of the commencement of public legal proceedings and of the outcome of the proceedings, in cases where </w:t>
      </w:r>
      <w:r w:rsidR="00A1059B">
        <w:rPr>
          <w:rFonts w:ascii="Calibri" w:eastAsia="Calibri" w:hAnsi="Calibri" w:cs="Times New Roman"/>
          <w:lang w:val="en-GB" w:eastAsia="zh-CN"/>
        </w:rPr>
        <w:t>a</w:t>
      </w:r>
      <w:r w:rsidR="00A1059B"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criminal investigation was started from an FIU report or where ML was collaterally investigated. This shall take the form of sending a copy of the indictment, the reason for dismissal or the verdict</w:t>
      </w:r>
      <w:r w:rsidR="00F17AB6">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35"/>
      </w:r>
      <w:r w:rsidRPr="00E76739">
        <w:rPr>
          <w:rFonts w:ascii="Calibri" w:eastAsia="Calibri" w:hAnsi="Calibri" w:cs="Times New Roman"/>
          <w:lang w:val="en-GB" w:eastAsia="zh-CN"/>
        </w:rPr>
        <w:t xml:space="preserve"> However, feedback only </w:t>
      </w:r>
      <w:r w:rsidR="00F17AB6">
        <w:rPr>
          <w:rFonts w:ascii="Calibri" w:eastAsia="Calibri" w:hAnsi="Calibri" w:cs="Times New Roman"/>
          <w:lang w:val="en-GB" w:eastAsia="zh-CN"/>
        </w:rPr>
        <w:t>rarely</w:t>
      </w:r>
      <w:r w:rsidR="00F17AB6"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contains explanatory information or information of typological relevance. According to the FIU </w:t>
      </w:r>
      <w:r w:rsidR="00F17AB6">
        <w:rPr>
          <w:rFonts w:ascii="Calibri" w:eastAsia="Calibri" w:hAnsi="Calibri" w:cs="Times New Roman"/>
          <w:lang w:val="en-GB" w:eastAsia="zh-CN"/>
        </w:rPr>
        <w:t>A</w:t>
      </w:r>
      <w:r w:rsidR="00F17AB6" w:rsidRPr="00E76739">
        <w:rPr>
          <w:rFonts w:ascii="Calibri" w:eastAsia="Calibri" w:hAnsi="Calibri" w:cs="Times New Roman"/>
          <w:lang w:val="en-GB" w:eastAsia="zh-CN"/>
        </w:rPr>
        <w:t xml:space="preserve">nnual </w:t>
      </w:r>
      <w:r w:rsidR="00F17AB6">
        <w:rPr>
          <w:rFonts w:ascii="Calibri" w:eastAsia="Calibri" w:hAnsi="Calibri" w:cs="Times New Roman"/>
          <w:lang w:val="en-GB" w:eastAsia="zh-CN"/>
        </w:rPr>
        <w:t>R</w:t>
      </w:r>
      <w:r w:rsidR="00F17AB6" w:rsidRPr="00E76739">
        <w:rPr>
          <w:rFonts w:ascii="Calibri" w:eastAsia="Calibri" w:hAnsi="Calibri" w:cs="Times New Roman"/>
          <w:lang w:val="en-GB" w:eastAsia="zh-CN"/>
        </w:rPr>
        <w:t>eport</w:t>
      </w:r>
      <w:r w:rsidRPr="00E76739">
        <w:rPr>
          <w:rFonts w:ascii="Calibri" w:eastAsia="Calibri" w:hAnsi="Calibri" w:cs="Times New Roman"/>
          <w:lang w:val="en-GB" w:eastAsia="zh-CN"/>
        </w:rPr>
        <w:t>, it was often not possible to establish if the proceedings were dropped in relation to suspicion of money laundering, but continued in re</w:t>
      </w:r>
      <w:bookmarkStart w:id="40" w:name="_Toc341109087"/>
      <w:bookmarkStart w:id="41" w:name="_Toc341266527"/>
      <w:bookmarkStart w:id="42" w:name="_Toc341269282"/>
      <w:r w:rsidRPr="00E76739">
        <w:rPr>
          <w:rFonts w:ascii="Calibri" w:eastAsia="Calibri" w:hAnsi="Calibri" w:cs="Times New Roman"/>
          <w:lang w:val="en-GB" w:eastAsia="zh-CN"/>
        </w:rPr>
        <w:t>lation to the predicate offence.</w:t>
      </w:r>
    </w:p>
    <w:p w14:paraId="50DEAA46" w14:textId="77777777" w:rsidR="00E76739" w:rsidRPr="00E76739" w:rsidRDefault="00E76739" w:rsidP="00E76739">
      <w:pPr>
        <w:spacing w:after="240" w:line="240" w:lineRule="auto"/>
        <w:jc w:val="both"/>
        <w:rPr>
          <w:rFonts w:ascii="Calibri" w:eastAsia="SimSun" w:hAnsi="Calibri" w:cs="Times New Roman"/>
          <w:b/>
          <w:bCs/>
          <w:lang w:val="en-GB" w:eastAsia="zh-CN"/>
        </w:rPr>
      </w:pPr>
      <w:r w:rsidRPr="00E76739">
        <w:rPr>
          <w:rFonts w:ascii="Calibri" w:eastAsia="Calibri" w:hAnsi="Calibri" w:cs="Times New Roman"/>
          <w:lang w:val="en-GB" w:eastAsia="zh-CN"/>
        </w:rPr>
        <w:br/>
      </w:r>
      <w:r w:rsidR="00BA07A1">
        <w:rPr>
          <w:rFonts w:ascii="Calibri" w:eastAsia="SimSun" w:hAnsi="Calibri" w:cs="Times New Roman"/>
          <w:b/>
          <w:bCs/>
          <w:lang w:val="en-GB" w:eastAsia="zh-CN"/>
        </w:rPr>
        <w:t>8</w:t>
      </w:r>
      <w:r w:rsidRPr="00E76739">
        <w:rPr>
          <w:rFonts w:ascii="Calibri" w:eastAsia="SimSun" w:hAnsi="Calibri" w:cs="Times New Roman"/>
          <w:b/>
          <w:bCs/>
          <w:lang w:val="en-GB" w:eastAsia="zh-CN"/>
        </w:rPr>
        <w:t xml:space="preserve">.5.11 </w:t>
      </w:r>
      <w:r w:rsidRPr="00E76739">
        <w:rPr>
          <w:rFonts w:ascii="Calibri" w:eastAsia="SimSun" w:hAnsi="Calibri" w:cs="Times New Roman"/>
          <w:b/>
          <w:bCs/>
          <w:lang w:val="en-GB" w:eastAsia="zh-CN"/>
        </w:rPr>
        <w:tab/>
        <w:t>Greece</w:t>
      </w:r>
      <w:bookmarkEnd w:id="40"/>
      <w:bookmarkEnd w:id="41"/>
      <w:bookmarkEnd w:id="42"/>
    </w:p>
    <w:p w14:paraId="09371753" w14:textId="33E57179"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The Greek FIU receives information from the reporting entities and from other national agencies via the AML/CTF/SFI Authority. The Chairman decides which of the three units will handle the report and therefore these flows of information are mediated, because in effect the Chairman can determine the course of the information flows and whether they reach the FIU or not. With respect to Foreign FIUs the information is no longer filtered as it naturally has reached the best institution to handle it. After receiving an STR the FIU investigates and the case is either archived or transmitted to the competent PPO. According to the FIU representatives, the Greek FIU compiles very good reports of analysis </w:t>
      </w:r>
      <w:r w:rsidR="00CF700B">
        <w:rPr>
          <w:rFonts w:ascii="Calibri" w:eastAsia="Times New Roman" w:hAnsi="Calibri" w:cs="Calibri"/>
          <w:lang w:val="en-GB" w:eastAsia="zh-CN"/>
        </w:rPr>
        <w:t>for</w:t>
      </w:r>
      <w:r w:rsidR="00CF700B"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the PPO and this is confirmed by the fact that the PPO rarely returns to the FIU for more information and by the fact that almost all of the reports which are passed on to the PPO are prosecuted further</w:t>
      </w:r>
      <w:r w:rsidR="00CF700B">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36"/>
      </w:r>
      <w:r w:rsidRPr="00E76739">
        <w:rPr>
          <w:rFonts w:ascii="Calibri" w:eastAsia="Times New Roman" w:hAnsi="Calibri" w:cs="Calibri"/>
          <w:lang w:val="en-GB" w:eastAsia="zh-CN"/>
        </w:rPr>
        <w:t xml:space="preserve"> </w:t>
      </w:r>
      <w:r w:rsidR="00CF700B">
        <w:rPr>
          <w:rFonts w:ascii="Calibri" w:eastAsia="Times New Roman" w:hAnsi="Calibri" w:cs="Calibri"/>
          <w:lang w:val="en-GB" w:eastAsia="zh-CN"/>
        </w:rPr>
        <w:t>Depending on</w:t>
      </w:r>
      <w:r w:rsidR="00CF700B"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the nature of the case, it will be investigated by a first instance PPO or by </w:t>
      </w:r>
      <w:r w:rsidR="00CF700B" w:rsidRPr="00E76739">
        <w:rPr>
          <w:rFonts w:ascii="Calibri" w:eastAsia="Times New Roman" w:hAnsi="Calibri" w:cs="Calibri"/>
          <w:lang w:val="en-GB" w:eastAsia="zh-CN"/>
        </w:rPr>
        <w:t>higher</w:t>
      </w:r>
      <w:r w:rsidR="00CF700B">
        <w:rPr>
          <w:rFonts w:ascii="Calibri" w:eastAsia="Times New Roman" w:hAnsi="Calibri" w:cs="Calibri"/>
          <w:lang w:val="en-GB" w:eastAsia="zh-CN"/>
        </w:rPr>
        <w:t>-</w:t>
      </w:r>
      <w:r w:rsidRPr="00E76739">
        <w:rPr>
          <w:rFonts w:ascii="Calibri" w:eastAsia="Times New Roman" w:hAnsi="Calibri" w:cs="Calibri"/>
          <w:lang w:val="en-GB" w:eastAsia="zh-CN"/>
        </w:rPr>
        <w:t xml:space="preserve">level PPOs. Accordingly, it can be investigated by the newly formed </w:t>
      </w:r>
      <w:r w:rsidR="00CF700B" w:rsidRPr="00E76739">
        <w:rPr>
          <w:rFonts w:ascii="Calibri" w:eastAsia="Times New Roman" w:hAnsi="Calibri" w:cs="Calibri"/>
          <w:lang w:val="en-GB" w:eastAsia="zh-CN"/>
        </w:rPr>
        <w:t>Speciali</w:t>
      </w:r>
      <w:r w:rsidR="00CF700B">
        <w:rPr>
          <w:rFonts w:ascii="Calibri" w:eastAsia="Times New Roman" w:hAnsi="Calibri" w:cs="Calibri"/>
          <w:lang w:val="en-GB" w:eastAsia="zh-CN"/>
        </w:rPr>
        <w:t>z</w:t>
      </w:r>
      <w:r w:rsidR="00CF700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Financial Crime prosecution offices</w:t>
      </w:r>
      <w:r w:rsidR="00CF700B">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37"/>
      </w:r>
      <w:r w:rsidRPr="00E76739">
        <w:rPr>
          <w:rFonts w:ascii="Calibri" w:eastAsia="Times New Roman" w:hAnsi="Calibri" w:cs="Calibri"/>
          <w:lang w:val="en-GB" w:eastAsia="zh-CN"/>
        </w:rPr>
        <w:t xml:space="preserve"> Investigative judges can be employed in the investigation of more complicated cases. </w:t>
      </w:r>
    </w:p>
    <w:p w14:paraId="2186811A" w14:textId="043F0F9E" w:rsidR="00E76739" w:rsidRPr="00E76739" w:rsidRDefault="00E76739" w:rsidP="00E76739">
      <w:pPr>
        <w:spacing w:after="0" w:line="240" w:lineRule="auto"/>
        <w:jc w:val="center"/>
        <w:rPr>
          <w:rFonts w:ascii="Calibri" w:eastAsia="SimSun" w:hAnsi="Calibri" w:cs="Times New Roman"/>
          <w:b/>
          <w:lang w:val="en-GB" w:eastAsia="zh-CN"/>
        </w:rPr>
      </w:pPr>
      <w:r w:rsidRPr="00E76739">
        <w:rPr>
          <w:rFonts w:ascii="Calibri" w:eastAsia="SimSun" w:hAnsi="Calibri" w:cs="Times New Roman"/>
          <w:b/>
          <w:lang w:val="en-GB" w:eastAsia="zh-CN"/>
        </w:rPr>
        <w:br w:type="page"/>
      </w:r>
      <w:bookmarkStart w:id="43" w:name="_Toc350517102"/>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FB3703" w:rsidRPr="00E76739">
        <w:rPr>
          <w:rFonts w:ascii="Calibri" w:eastAsia="SimSun" w:hAnsi="Calibri" w:cs="Times New Roman"/>
          <w:b/>
          <w:lang w:val="en-GB" w:eastAsia="zh-CN"/>
        </w:rPr>
        <w:t>1</w:t>
      </w:r>
      <w:r w:rsidR="00FB3703">
        <w:rPr>
          <w:rFonts w:ascii="Calibri" w:eastAsia="SimSun" w:hAnsi="Calibri" w:cs="Times New Roman"/>
          <w:b/>
          <w:lang w:val="en-GB" w:eastAsia="zh-CN"/>
        </w:rPr>
        <w:t>5</w:t>
      </w:r>
      <w:r w:rsidRPr="00E76739">
        <w:rPr>
          <w:rFonts w:ascii="Calibri" w:eastAsia="SimSun" w:hAnsi="Calibri" w:cs="Times New Roman"/>
          <w:b/>
          <w:lang w:val="en-GB" w:eastAsia="zh-CN"/>
        </w:rPr>
        <w:t>: AML/CTF information flows in Greece</w:t>
      </w:r>
      <w:bookmarkEnd w:id="43"/>
    </w:p>
    <w:p w14:paraId="401393E5" w14:textId="77777777" w:rsidR="00E76739" w:rsidRPr="00E76739" w:rsidRDefault="00E76739" w:rsidP="00E76739">
      <w:pPr>
        <w:keepNext/>
        <w:keepLines/>
        <w:spacing w:after="0" w:line="240" w:lineRule="auto"/>
        <w:jc w:val="both"/>
        <w:outlineLvl w:val="2"/>
        <w:rPr>
          <w:rFonts w:ascii="Cambria" w:eastAsia="Times New Roman" w:hAnsi="Cambria" w:cs="Times New Roman"/>
          <w:b/>
          <w:bCs/>
          <w:color w:val="4F81BD"/>
          <w:lang w:val="en-GB" w:eastAsia="zh-CN"/>
        </w:rPr>
      </w:pPr>
    </w:p>
    <w:p w14:paraId="4A1D7CAD" w14:textId="740CB518"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i/>
          <w:noProof/>
          <w:lang w:val="en-US" w:eastAsia="en-US"/>
        </w:rPr>
        <w:drawing>
          <wp:inline distT="0" distB="0" distL="0" distR="0" wp14:anchorId="42AB7B62" wp14:editId="47A9324C">
            <wp:extent cx="5962650" cy="2552700"/>
            <wp:effectExtent l="0" t="0" r="0" b="0"/>
            <wp:docPr id="30" name="Picture 147" descr="GreekFlow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reekFlow (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2552700"/>
                    </a:xfrm>
                    <a:prstGeom prst="rect">
                      <a:avLst/>
                    </a:prstGeom>
                    <a:noFill/>
                    <a:ln>
                      <a:noFill/>
                    </a:ln>
                  </pic:spPr>
                </pic:pic>
              </a:graphicData>
            </a:graphic>
          </wp:inline>
        </w:drawing>
      </w:r>
      <w:r w:rsidRPr="00E76739">
        <w:rPr>
          <w:rFonts w:ascii="Calibri" w:eastAsia="Times New Roman" w:hAnsi="Calibri" w:cs="Calibri"/>
          <w:i/>
          <w:sz w:val="20"/>
          <w:szCs w:val="20"/>
          <w:lang w:val="en-GB" w:eastAsia="zh-CN"/>
        </w:rPr>
        <w:t>Legend: In the figure above the red arrows show the ML/TF flows of information; blue arrows represent the feedback given and received by the FIU; dotted arrows mark intermediated flows (feedback); the thickness of the arrows reflects the intensity of the information flows –</w:t>
      </w:r>
      <w:r w:rsidR="00CF700B">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in terms of </w:t>
      </w:r>
      <w:r w:rsidR="003912AC">
        <w:rPr>
          <w:rFonts w:ascii="Calibri" w:eastAsia="Calibri" w:hAnsi="Calibri" w:cs="Times New Roman"/>
          <w:i/>
          <w:sz w:val="20"/>
          <w:szCs w:val="20"/>
          <w:lang w:val="en-GB" w:eastAsia="zh-CN"/>
        </w:rPr>
        <w:t>both</w:t>
      </w:r>
      <w:r w:rsidR="003912AC"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3912AC" w:rsidRPr="00E76739">
        <w:rPr>
          <w:rFonts w:ascii="Calibri" w:eastAsia="Times New Roman" w:hAnsi="Calibri" w:cs="Calibri"/>
          <w:i/>
          <w:sz w:val="20"/>
          <w:szCs w:val="20"/>
          <w:lang w:val="en-GB" w:eastAsia="zh-CN"/>
        </w:rPr>
        <w:t>speciali</w:t>
      </w:r>
      <w:r w:rsidR="003912AC">
        <w:rPr>
          <w:rFonts w:ascii="Calibri" w:eastAsia="Times New Roman" w:hAnsi="Calibri" w:cs="Calibri"/>
          <w:i/>
          <w:sz w:val="20"/>
          <w:szCs w:val="20"/>
          <w:lang w:val="en-GB" w:eastAsia="zh-CN"/>
        </w:rPr>
        <w:t>z</w:t>
      </w:r>
      <w:r w:rsidR="003912AC"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in dealing with ML/TF cases.</w:t>
      </w:r>
    </w:p>
    <w:p w14:paraId="6844D36F" w14:textId="77777777"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With respect to feedback, the FIU receives its feedback from the PPO mostly – but this is an intermediated flow of information. The head of the Authority, being an active Prosecutor, remains informed of the developments of the cases started by the FIU as well as on the possible shortcomings of the investigation; hence in terms of feedback the FIU agents receive direct feedback from their head. According to the Greek representatives, the new structure of the FIU ensures that every member of the staff learns from his/her colleagues. The feedback flows in the Greek case could best be described as diffuse and centred at the melting pot that is the Authority. </w:t>
      </w:r>
    </w:p>
    <w:p w14:paraId="33703A51" w14:textId="27EF62C2"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With respect to </w:t>
      </w:r>
      <w:r w:rsidR="00CF700B" w:rsidRPr="00E76739">
        <w:rPr>
          <w:rFonts w:ascii="Calibri" w:eastAsia="Times New Roman" w:hAnsi="Calibri" w:cs="Calibri"/>
          <w:lang w:val="en-GB" w:eastAsia="zh-CN"/>
        </w:rPr>
        <w:t>speciali</w:t>
      </w:r>
      <w:r w:rsidR="00CF700B">
        <w:rPr>
          <w:rFonts w:ascii="Calibri" w:eastAsia="Times New Roman" w:hAnsi="Calibri" w:cs="Calibri"/>
          <w:lang w:val="en-GB" w:eastAsia="zh-CN"/>
        </w:rPr>
        <w:t>z</w:t>
      </w:r>
      <w:r w:rsidR="00CF700B" w:rsidRPr="00E76739">
        <w:rPr>
          <w:rFonts w:ascii="Calibri" w:eastAsia="Times New Roman" w:hAnsi="Calibri" w:cs="Calibri"/>
          <w:lang w:val="en-GB" w:eastAsia="zh-CN"/>
        </w:rPr>
        <w:t>ation</w:t>
      </w:r>
      <w:r w:rsidRPr="00E76739">
        <w:rPr>
          <w:rFonts w:ascii="Calibri" w:eastAsia="Times New Roman" w:hAnsi="Calibri" w:cs="Calibri"/>
          <w:lang w:val="en-GB" w:eastAsia="zh-CN"/>
        </w:rPr>
        <w:t xml:space="preserve">, the highest degree of </w:t>
      </w:r>
      <w:r w:rsidR="00CF700B" w:rsidRPr="00E76739">
        <w:rPr>
          <w:rFonts w:ascii="Calibri" w:eastAsia="Times New Roman" w:hAnsi="Calibri" w:cs="Calibri"/>
          <w:lang w:val="en-GB" w:eastAsia="zh-CN"/>
        </w:rPr>
        <w:t>speciali</w:t>
      </w:r>
      <w:r w:rsidR="00CF700B">
        <w:rPr>
          <w:rFonts w:ascii="Calibri" w:eastAsia="Times New Roman" w:hAnsi="Calibri" w:cs="Calibri"/>
          <w:lang w:val="en-GB" w:eastAsia="zh-CN"/>
        </w:rPr>
        <w:t>z</w:t>
      </w:r>
      <w:r w:rsidR="00CF700B" w:rsidRPr="00E76739">
        <w:rPr>
          <w:rFonts w:ascii="Calibri" w:eastAsia="Times New Roman" w:hAnsi="Calibri" w:cs="Calibri"/>
          <w:lang w:val="en-GB" w:eastAsia="zh-CN"/>
        </w:rPr>
        <w:t xml:space="preserve">ation </w:t>
      </w:r>
      <w:r w:rsidRPr="00E76739">
        <w:rPr>
          <w:rFonts w:ascii="Calibri" w:eastAsia="Times New Roman" w:hAnsi="Calibri" w:cs="Calibri"/>
          <w:lang w:val="en-GB" w:eastAsia="zh-CN"/>
        </w:rPr>
        <w:t xml:space="preserve">could be seen within the Authority and the Financial Crimes Prosecution Services. With respect to the AML/CTF/SFI Authority, it is doubtful whether employing staff by detachment for short periods of time could ensure the degree of </w:t>
      </w:r>
      <w:r w:rsidR="00CF700B" w:rsidRPr="00E76739">
        <w:rPr>
          <w:rFonts w:ascii="Calibri" w:eastAsia="Times New Roman" w:hAnsi="Calibri" w:cs="Calibri"/>
          <w:lang w:val="en-GB" w:eastAsia="zh-CN"/>
        </w:rPr>
        <w:t>speciali</w:t>
      </w:r>
      <w:r w:rsidR="00CF700B">
        <w:rPr>
          <w:rFonts w:ascii="Calibri" w:eastAsia="Times New Roman" w:hAnsi="Calibri" w:cs="Calibri"/>
          <w:lang w:val="en-GB" w:eastAsia="zh-CN"/>
        </w:rPr>
        <w:t>z</w:t>
      </w:r>
      <w:r w:rsidR="00CF700B" w:rsidRPr="00E76739">
        <w:rPr>
          <w:rFonts w:ascii="Calibri" w:eastAsia="Times New Roman" w:hAnsi="Calibri" w:cs="Calibri"/>
          <w:lang w:val="en-GB" w:eastAsia="zh-CN"/>
        </w:rPr>
        <w:t xml:space="preserve">ation </w:t>
      </w:r>
      <w:r w:rsidRPr="00E76739">
        <w:rPr>
          <w:rFonts w:ascii="Calibri" w:eastAsia="Times New Roman" w:hAnsi="Calibri" w:cs="Calibri"/>
          <w:lang w:val="en-GB" w:eastAsia="zh-CN"/>
        </w:rPr>
        <w:t xml:space="preserve">that persistence and consistency usually ensure. Given the novelty of this </w:t>
      </w:r>
      <w:r w:rsidR="00CF700B" w:rsidRPr="00E76739">
        <w:rPr>
          <w:rFonts w:ascii="Calibri" w:eastAsia="Times New Roman" w:hAnsi="Calibri" w:cs="Calibri"/>
          <w:lang w:val="en-GB" w:eastAsia="zh-CN"/>
        </w:rPr>
        <w:t>organi</w:t>
      </w:r>
      <w:r w:rsidR="00CF700B">
        <w:rPr>
          <w:rFonts w:ascii="Calibri" w:eastAsia="Times New Roman" w:hAnsi="Calibri" w:cs="Calibri"/>
          <w:lang w:val="en-GB" w:eastAsia="zh-CN"/>
        </w:rPr>
        <w:t>z</w:t>
      </w:r>
      <w:r w:rsidR="00CF700B" w:rsidRPr="00E76739">
        <w:rPr>
          <w:rFonts w:ascii="Calibri" w:eastAsia="Times New Roman" w:hAnsi="Calibri" w:cs="Calibri"/>
          <w:lang w:val="en-GB" w:eastAsia="zh-CN"/>
        </w:rPr>
        <w:t>ation</w:t>
      </w:r>
      <w:r w:rsidRPr="00E76739">
        <w:rPr>
          <w:rFonts w:ascii="Calibri" w:eastAsia="Times New Roman" w:hAnsi="Calibri" w:cs="Calibri"/>
          <w:lang w:val="en-GB" w:eastAsia="zh-CN"/>
        </w:rPr>
        <w:t>, it is impossible to investigate th</w:t>
      </w:r>
      <w:r w:rsidR="00CF700B">
        <w:rPr>
          <w:rFonts w:ascii="Calibri" w:eastAsia="Times New Roman" w:hAnsi="Calibri" w:cs="Calibri"/>
          <w:lang w:val="en-GB" w:eastAsia="zh-CN"/>
        </w:rPr>
        <w:t>e</w:t>
      </w:r>
      <w:r w:rsidRPr="00E76739">
        <w:rPr>
          <w:rFonts w:ascii="Calibri" w:eastAsia="Times New Roman" w:hAnsi="Calibri" w:cs="Calibri"/>
          <w:lang w:val="en-GB" w:eastAsia="zh-CN"/>
        </w:rPr>
        <w:t>s</w:t>
      </w:r>
      <w:r w:rsidR="00CF700B">
        <w:rPr>
          <w:rFonts w:ascii="Calibri" w:eastAsia="Times New Roman" w:hAnsi="Calibri" w:cs="Calibri"/>
          <w:lang w:val="en-GB" w:eastAsia="zh-CN"/>
        </w:rPr>
        <w:t>e</w:t>
      </w:r>
      <w:r w:rsidRPr="00E76739">
        <w:rPr>
          <w:rFonts w:ascii="Calibri" w:eastAsia="Times New Roman" w:hAnsi="Calibri" w:cs="Calibri"/>
          <w:lang w:val="en-GB" w:eastAsia="zh-CN"/>
        </w:rPr>
        <w:t xml:space="preserve"> consideration</w:t>
      </w:r>
      <w:r w:rsidR="00CF700B">
        <w:rPr>
          <w:rFonts w:ascii="Calibri" w:eastAsia="Times New Roman" w:hAnsi="Calibri" w:cs="Calibri"/>
          <w:lang w:val="en-GB" w:eastAsia="zh-CN"/>
        </w:rPr>
        <w:t>s</w:t>
      </w:r>
      <w:r w:rsidRPr="00E76739">
        <w:rPr>
          <w:rFonts w:ascii="Calibri" w:eastAsia="Times New Roman" w:hAnsi="Calibri" w:cs="Calibri"/>
          <w:lang w:val="en-GB" w:eastAsia="zh-CN"/>
        </w:rPr>
        <w:t xml:space="preserve"> further. </w:t>
      </w:r>
    </w:p>
    <w:p w14:paraId="737A0BF7" w14:textId="77777777"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Having described the Cypriot model previously, one can see the scope of the similarities between the two. The new Greek FIU has been designed with a clear look at the Cypriot MOKAS. The rest of the information flow dissimilarities between the information flow charts are therefore due to the different legal systems of the two countries.</w:t>
      </w:r>
    </w:p>
    <w:p w14:paraId="2C29FB11" w14:textId="77777777" w:rsidR="00E76739" w:rsidRPr="00E76739" w:rsidRDefault="00E76739" w:rsidP="00E76739">
      <w:pPr>
        <w:spacing w:after="0" w:line="240" w:lineRule="auto"/>
        <w:jc w:val="both"/>
        <w:rPr>
          <w:rFonts w:ascii="Calibri" w:eastAsia="SimSun" w:hAnsi="Calibri" w:cs="Times New Roman"/>
          <w:b/>
          <w:bCs/>
          <w:lang w:val="en-GB" w:eastAsia="zh-CN"/>
        </w:rPr>
      </w:pPr>
      <w:bookmarkStart w:id="44" w:name="_Toc341109088"/>
      <w:bookmarkStart w:id="45" w:name="_Toc341266528"/>
      <w:bookmarkStart w:id="46" w:name="_Toc341269283"/>
    </w:p>
    <w:p w14:paraId="61918A39"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27709EC0"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.5.12 </w:t>
      </w:r>
      <w:r w:rsidR="00E76739" w:rsidRPr="00E76739">
        <w:rPr>
          <w:rFonts w:ascii="Calibri" w:eastAsia="SimSun" w:hAnsi="Calibri" w:cs="Times New Roman"/>
          <w:b/>
          <w:bCs/>
          <w:lang w:val="en-GB" w:eastAsia="zh-CN"/>
        </w:rPr>
        <w:tab/>
        <w:t>Hungary</w:t>
      </w:r>
      <w:bookmarkEnd w:id="44"/>
      <w:bookmarkEnd w:id="45"/>
      <w:bookmarkEnd w:id="46"/>
    </w:p>
    <w:p w14:paraId="2686F0C3"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21CF277B" w14:textId="562A7C64"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The Hungarian FIU is an independent </w:t>
      </w:r>
      <w:r w:rsidR="00CF700B">
        <w:rPr>
          <w:rFonts w:ascii="Calibri" w:eastAsia="Times New Roman" w:hAnsi="Calibri" w:cs="Calibri"/>
          <w:lang w:val="en-GB" w:eastAsia="zh-CN"/>
        </w:rPr>
        <w:t>d</w:t>
      </w:r>
      <w:r w:rsidR="00CF700B" w:rsidRPr="00E76739">
        <w:rPr>
          <w:rFonts w:ascii="Calibri" w:eastAsia="Times New Roman" w:hAnsi="Calibri" w:cs="Calibri"/>
          <w:lang w:val="en-GB" w:eastAsia="zh-CN"/>
        </w:rPr>
        <w:t xml:space="preserve">irectorate </w:t>
      </w:r>
      <w:r w:rsidRPr="00E76739">
        <w:rPr>
          <w:rFonts w:ascii="Calibri" w:eastAsia="Times New Roman" w:hAnsi="Calibri" w:cs="Calibri"/>
          <w:lang w:val="en-GB" w:eastAsia="zh-CN"/>
        </w:rPr>
        <w:t xml:space="preserve">within the Criminal Directorate General of the National Tax and Customs Administration (NTCA), as a result of </w:t>
      </w:r>
      <w:r w:rsidR="00CF700B">
        <w:rPr>
          <w:rFonts w:ascii="Calibri" w:eastAsia="Times New Roman" w:hAnsi="Calibri" w:cs="Calibri"/>
          <w:lang w:val="en-GB" w:eastAsia="zh-CN"/>
        </w:rPr>
        <w:t>a</w:t>
      </w:r>
      <w:r w:rsidR="00CF700B"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merger between the Hungarian </w:t>
      </w:r>
      <w:r w:rsidR="00CF700B">
        <w:rPr>
          <w:rFonts w:ascii="Calibri" w:eastAsia="Times New Roman" w:hAnsi="Calibri" w:cs="Calibri"/>
          <w:lang w:val="en-GB" w:eastAsia="zh-CN"/>
        </w:rPr>
        <w:t>t</w:t>
      </w:r>
      <w:r w:rsidR="00CF700B" w:rsidRPr="00E76739">
        <w:rPr>
          <w:rFonts w:ascii="Calibri" w:eastAsia="Times New Roman" w:hAnsi="Calibri" w:cs="Calibri"/>
          <w:lang w:val="en-GB" w:eastAsia="zh-CN"/>
        </w:rPr>
        <w:t xml:space="preserve">ax </w:t>
      </w:r>
      <w:r w:rsidRPr="00E76739">
        <w:rPr>
          <w:rFonts w:ascii="Calibri" w:eastAsia="Times New Roman" w:hAnsi="Calibri" w:cs="Calibri"/>
          <w:lang w:val="en-GB" w:eastAsia="zh-CN"/>
        </w:rPr>
        <w:t xml:space="preserve">and </w:t>
      </w:r>
      <w:r w:rsidR="00CF700B">
        <w:rPr>
          <w:rFonts w:ascii="Calibri" w:eastAsia="Times New Roman" w:hAnsi="Calibri" w:cs="Calibri"/>
          <w:lang w:val="en-GB" w:eastAsia="zh-CN"/>
        </w:rPr>
        <w:t>c</w:t>
      </w:r>
      <w:r w:rsidR="00CF700B" w:rsidRPr="00E76739">
        <w:rPr>
          <w:rFonts w:ascii="Calibri" w:eastAsia="Times New Roman" w:hAnsi="Calibri" w:cs="Calibri"/>
          <w:lang w:val="en-GB" w:eastAsia="zh-CN"/>
        </w:rPr>
        <w:t>ustoms</w:t>
      </w:r>
      <w:r w:rsidRPr="00E76739">
        <w:rPr>
          <w:rFonts w:ascii="Calibri" w:eastAsia="Times New Roman" w:hAnsi="Calibri" w:cs="Calibri"/>
          <w:lang w:val="en-GB" w:eastAsia="zh-CN"/>
        </w:rPr>
        <w:t xml:space="preserve">. Information on TF can also surface from the National Security Office – the Hungarian </w:t>
      </w:r>
      <w:r w:rsidR="00CF700B" w:rsidRPr="00E76739">
        <w:rPr>
          <w:rFonts w:ascii="Calibri" w:eastAsia="Times New Roman" w:hAnsi="Calibri" w:cs="Calibri"/>
          <w:lang w:val="en-GB" w:eastAsia="zh-CN"/>
        </w:rPr>
        <w:t>speciali</w:t>
      </w:r>
      <w:r w:rsidR="00CF700B">
        <w:rPr>
          <w:rFonts w:ascii="Calibri" w:eastAsia="Times New Roman" w:hAnsi="Calibri" w:cs="Calibri"/>
          <w:lang w:val="en-GB" w:eastAsia="zh-CN"/>
        </w:rPr>
        <w:t>z</w:t>
      </w:r>
      <w:r w:rsidR="00CF700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intelligence agency that monitors persons capable of threatening the financial and economic security of Hungary</w:t>
      </w:r>
      <w:r w:rsidR="00CF700B">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38"/>
      </w:r>
      <w:r w:rsidRPr="00E76739">
        <w:rPr>
          <w:rFonts w:ascii="Calibri" w:eastAsia="Times New Roman" w:hAnsi="Calibri" w:cs="Calibri"/>
          <w:lang w:val="en-GB" w:eastAsia="zh-CN"/>
        </w:rPr>
        <w:t xml:space="preserve"> </w:t>
      </w:r>
    </w:p>
    <w:p w14:paraId="232A6DD5" w14:textId="232E0B81"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Upon receiving a report, the HFIU initiates an administrative investigation. The HFIU can disseminate financial information obtained under the AML/CTF Act to other investigating authorities – i.e. the public prosecutor, the national security service or an authority operating as a foreign FIU</w:t>
      </w:r>
      <w:r w:rsidR="00C15310">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39"/>
      </w:r>
      <w:r w:rsidRPr="00E76739">
        <w:rPr>
          <w:rFonts w:ascii="Calibri" w:eastAsia="Times New Roman" w:hAnsi="Calibri" w:cs="Calibri"/>
          <w:lang w:val="en-GB" w:eastAsia="zh-CN"/>
        </w:rPr>
        <w:t xml:space="preserve"> Furthermore, the information disseminated by the HFIU can be used in ML/TF investigations but also for the purpose of investigating tax fraud, embezzlement, fraud and misappropriation of funds. At the time of the </w:t>
      </w:r>
      <w:r w:rsidR="00C15310" w:rsidRPr="00E76739">
        <w:rPr>
          <w:rFonts w:ascii="Calibri" w:eastAsia="Times New Roman" w:hAnsi="Calibri" w:cs="Calibri"/>
          <w:lang w:val="en-GB" w:eastAsia="zh-CN"/>
        </w:rPr>
        <w:t>MONEYVAL</w:t>
      </w:r>
      <w:r w:rsidRPr="00E76739">
        <w:rPr>
          <w:rFonts w:ascii="Calibri" w:eastAsia="Times New Roman" w:hAnsi="Calibri" w:cs="Calibri"/>
          <w:lang w:val="en-GB" w:eastAsia="zh-CN"/>
        </w:rPr>
        <w:t xml:space="preserve"> (2010) visit, issues were raised with regard to the limited decision capacity of the HFIU to decide to which LEA to disseminate information – when it deemed necessary. These concerns may have been addressed since.</w:t>
      </w:r>
      <w:r w:rsidRPr="00E76739">
        <w:rPr>
          <w:rFonts w:ascii="Calibri" w:eastAsia="Times New Roman" w:hAnsi="Calibri" w:cs="Calibri"/>
          <w:vertAlign w:val="superscript"/>
          <w:lang w:val="en-GB" w:eastAsia="zh-CN"/>
        </w:rPr>
        <w:footnoteReference w:id="40"/>
      </w:r>
    </w:p>
    <w:p w14:paraId="2DC4372F"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5B85BF65" w14:textId="387C1F8B" w:rsidR="00E76739" w:rsidRPr="00E76739" w:rsidRDefault="00E76739" w:rsidP="00E76739">
      <w:pPr>
        <w:spacing w:after="0" w:line="240" w:lineRule="auto"/>
        <w:jc w:val="center"/>
        <w:rPr>
          <w:rFonts w:ascii="Calibri" w:eastAsia="SimSun" w:hAnsi="Calibri" w:cs="Times New Roman"/>
          <w:b/>
          <w:lang w:val="en-GB" w:eastAsia="zh-CN"/>
        </w:rPr>
      </w:pPr>
      <w:bookmarkStart w:id="47" w:name="_Toc350517103"/>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AA2DA9" w:rsidRPr="00E76739">
        <w:rPr>
          <w:rFonts w:ascii="Calibri" w:eastAsia="SimSun" w:hAnsi="Calibri" w:cs="Times New Roman"/>
          <w:b/>
          <w:lang w:val="en-GB" w:eastAsia="zh-CN"/>
        </w:rPr>
        <w:t>1</w:t>
      </w:r>
      <w:r w:rsidR="00AA2DA9">
        <w:rPr>
          <w:rFonts w:ascii="Calibri" w:eastAsia="SimSun" w:hAnsi="Calibri" w:cs="Times New Roman"/>
          <w:b/>
          <w:lang w:val="en-GB" w:eastAsia="zh-CN"/>
        </w:rPr>
        <w:t>6</w:t>
      </w:r>
      <w:r w:rsidRPr="00E76739">
        <w:rPr>
          <w:rFonts w:ascii="Calibri" w:eastAsia="SimSun" w:hAnsi="Calibri" w:cs="Times New Roman"/>
          <w:b/>
          <w:lang w:val="en-GB" w:eastAsia="zh-CN"/>
        </w:rPr>
        <w:t>: AML/CTF Information flows in Hungary</w:t>
      </w:r>
      <w:bookmarkEnd w:id="47"/>
    </w:p>
    <w:p w14:paraId="350C5DCF" w14:textId="77777777" w:rsidR="00E76739" w:rsidRPr="00E76739" w:rsidRDefault="00E76739" w:rsidP="00E76739">
      <w:pPr>
        <w:spacing w:after="0" w:line="240" w:lineRule="auto"/>
        <w:jc w:val="both"/>
        <w:rPr>
          <w:rFonts w:ascii="Calibri" w:eastAsia="SimSun" w:hAnsi="Calibri" w:cs="Times New Roman"/>
          <w:b/>
          <w:lang w:val="en-GB" w:eastAsia="zh-CN"/>
        </w:rPr>
      </w:pPr>
    </w:p>
    <w:p w14:paraId="3677990E" w14:textId="77777777" w:rsidR="00E76739" w:rsidRPr="00E76739" w:rsidRDefault="00E76739" w:rsidP="00E76739">
      <w:pPr>
        <w:spacing w:after="0" w:line="240" w:lineRule="auto"/>
        <w:jc w:val="both"/>
        <w:rPr>
          <w:rFonts w:ascii="Calibri" w:eastAsia="Times New Roman" w:hAnsi="Calibri" w:cs="Calibri"/>
          <w:b/>
          <w:u w:val="single"/>
          <w:lang w:val="en-GB" w:eastAsia="zh-CN"/>
        </w:rPr>
      </w:pPr>
      <w:r w:rsidRPr="00E76739">
        <w:rPr>
          <w:rFonts w:ascii="Calibri" w:eastAsia="Times New Roman" w:hAnsi="Calibri" w:cs="Calibri"/>
          <w:b/>
          <w:noProof/>
          <w:lang w:val="en-US" w:eastAsia="en-US"/>
        </w:rPr>
        <w:drawing>
          <wp:inline distT="0" distB="0" distL="0" distR="0" wp14:anchorId="40FB6354" wp14:editId="071E5F91">
            <wp:extent cx="5867400" cy="3133725"/>
            <wp:effectExtent l="0" t="0" r="0" b="9525"/>
            <wp:docPr id="31" name="Picture 148" descr="HungaryInformationFlow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ungaryInformationFlows.jpeg"/>
                    <pic:cNvPicPr>
                      <a:picLocks noChangeAspect="1" noChangeArrowheads="1"/>
                    </pic:cNvPicPr>
                  </pic:nvPicPr>
                  <pic:blipFill>
                    <a:blip r:embed="rId18" cstate="print">
                      <a:extLst>
                        <a:ext uri="{28A0092B-C50C-407E-A947-70E740481C1C}">
                          <a14:useLocalDpi xmlns:a14="http://schemas.microsoft.com/office/drawing/2010/main" val="0"/>
                        </a:ext>
                      </a:extLst>
                    </a:blip>
                    <a:srcRect l="15704" t="15021" r="7532" b="33217"/>
                    <a:stretch>
                      <a:fillRect/>
                    </a:stretch>
                  </pic:blipFill>
                  <pic:spPr bwMode="auto">
                    <a:xfrm>
                      <a:off x="0" y="0"/>
                      <a:ext cx="5867400" cy="3133725"/>
                    </a:xfrm>
                    <a:prstGeom prst="rect">
                      <a:avLst/>
                    </a:prstGeom>
                    <a:noFill/>
                    <a:ln>
                      <a:noFill/>
                    </a:ln>
                  </pic:spPr>
                </pic:pic>
              </a:graphicData>
            </a:graphic>
          </wp:inline>
        </w:drawing>
      </w:r>
    </w:p>
    <w:p w14:paraId="2537732C" w14:textId="106225DF" w:rsidR="00E76739" w:rsidRPr="00E76739" w:rsidRDefault="00E76739" w:rsidP="00E76739">
      <w:pPr>
        <w:spacing w:after="24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785E6A">
        <w:rPr>
          <w:rFonts w:ascii="Calibri" w:eastAsia="Calibri" w:hAnsi="Calibri" w:cs="Times New Roman"/>
          <w:i/>
          <w:sz w:val="20"/>
          <w:szCs w:val="20"/>
          <w:lang w:val="en-GB" w:eastAsia="zh-CN"/>
        </w:rPr>
        <w:t>both</w:t>
      </w:r>
      <w:r w:rsidR="00785E6A"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785E6A" w:rsidRPr="00E76739">
        <w:rPr>
          <w:rFonts w:ascii="Calibri" w:eastAsia="Times New Roman" w:hAnsi="Calibri" w:cs="Calibri"/>
          <w:i/>
          <w:sz w:val="20"/>
          <w:szCs w:val="20"/>
          <w:lang w:val="en-GB" w:eastAsia="zh-CN"/>
        </w:rPr>
        <w:t>speciali</w:t>
      </w:r>
      <w:r w:rsidR="00785E6A">
        <w:rPr>
          <w:rFonts w:ascii="Calibri" w:eastAsia="Times New Roman" w:hAnsi="Calibri" w:cs="Calibri"/>
          <w:i/>
          <w:sz w:val="20"/>
          <w:szCs w:val="20"/>
          <w:lang w:val="en-GB" w:eastAsia="zh-CN"/>
        </w:rPr>
        <w:t>z</w:t>
      </w:r>
      <w:r w:rsidR="00785E6A"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 xml:space="preserve">in dealing with ML/TF cases. </w:t>
      </w:r>
    </w:p>
    <w:p w14:paraId="5B4A2497" w14:textId="11A7CEB5"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The competence for money laundering is shared between the NTCA, the Prosecution Office for Criminal Investigation and the </w:t>
      </w:r>
      <w:r w:rsidR="00C15310">
        <w:rPr>
          <w:rFonts w:ascii="Calibri" w:eastAsia="Times New Roman" w:hAnsi="Calibri" w:cs="Calibri"/>
          <w:lang w:val="en-GB" w:eastAsia="zh-CN"/>
        </w:rPr>
        <w:t>p</w:t>
      </w:r>
      <w:r w:rsidR="00C15310" w:rsidRPr="00E76739">
        <w:rPr>
          <w:rFonts w:ascii="Calibri" w:eastAsia="Times New Roman" w:hAnsi="Calibri" w:cs="Calibri"/>
          <w:lang w:val="en-GB" w:eastAsia="zh-CN"/>
        </w:rPr>
        <w:t>olice</w:t>
      </w:r>
      <w:r w:rsidRPr="00E76739">
        <w:rPr>
          <w:rFonts w:ascii="Calibri" w:eastAsia="Times New Roman" w:hAnsi="Calibri" w:cs="Calibri"/>
          <w:lang w:val="en-GB" w:eastAsia="zh-CN"/>
        </w:rPr>
        <w:t xml:space="preserve">. The NTCA holds primary competence and the </w:t>
      </w:r>
      <w:r w:rsidR="00C15310">
        <w:rPr>
          <w:rFonts w:ascii="Calibri" w:eastAsia="Times New Roman" w:hAnsi="Calibri" w:cs="Calibri"/>
          <w:lang w:val="en-GB" w:eastAsia="zh-CN"/>
        </w:rPr>
        <w:t>p</w:t>
      </w:r>
      <w:r w:rsidR="00C15310" w:rsidRPr="00E76739">
        <w:rPr>
          <w:rFonts w:ascii="Calibri" w:eastAsia="Times New Roman" w:hAnsi="Calibri" w:cs="Calibri"/>
          <w:lang w:val="en-GB" w:eastAsia="zh-CN"/>
        </w:rPr>
        <w:t xml:space="preserve">olice </w:t>
      </w:r>
      <w:r w:rsidRPr="00E76739">
        <w:rPr>
          <w:rFonts w:ascii="Calibri" w:eastAsia="Times New Roman" w:hAnsi="Calibri" w:cs="Calibri"/>
          <w:lang w:val="en-GB" w:eastAsia="zh-CN"/>
        </w:rPr>
        <w:t>investigate cases of ML where investigations were originally started on other crimes. When ML is committed by persons with legal immunity or by persons with international legal status, members of the court or of the prosecution, notaries or any other law enforcement authority, the investigation falls under the competence of the Prosecutorial Office for Criminal Investigations</w:t>
      </w:r>
      <w:r w:rsidR="00C15310">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41"/>
      </w:r>
      <w:r w:rsidRPr="00E76739">
        <w:rPr>
          <w:rFonts w:ascii="Calibri" w:eastAsia="Times New Roman" w:hAnsi="Calibri" w:cs="Calibri"/>
          <w:lang w:val="en-GB" w:eastAsia="zh-CN"/>
        </w:rPr>
        <w:t xml:space="preserve"> Furthermore, cases of terrorism financing are handled by the National Bureau of Investigation</w:t>
      </w:r>
      <w:r w:rsidR="00C15310">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42"/>
      </w:r>
      <w:r w:rsidR="00DA07F4">
        <w:rPr>
          <w:rFonts w:ascii="Calibri" w:eastAsia="Times New Roman" w:hAnsi="Calibri" w:cs="Calibri"/>
          <w:lang w:val="en-GB" w:eastAsia="zh-CN"/>
        </w:rPr>
        <w:t xml:space="preserve"> </w:t>
      </w:r>
    </w:p>
    <w:p w14:paraId="466AAB3E" w14:textId="6DB1BAD6"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The investigating authorities can coordinate their actions as long as the heads of the investigation authorities and the prosecution admit the need and agree to such coordination</w:t>
      </w:r>
      <w:r w:rsidR="00AF7B68">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43"/>
      </w:r>
      <w:r w:rsidRPr="00E76739">
        <w:rPr>
          <w:rFonts w:ascii="Calibri" w:eastAsia="Times New Roman" w:hAnsi="Calibri" w:cs="Calibri"/>
          <w:lang w:val="en-GB" w:eastAsia="zh-CN"/>
        </w:rPr>
        <w:t xml:space="preserve"> </w:t>
      </w:r>
      <w:r w:rsidR="00AF7B68" w:rsidRPr="00E76739">
        <w:rPr>
          <w:rFonts w:ascii="Calibri" w:eastAsia="Times New Roman" w:hAnsi="Calibri" w:cs="Calibri"/>
          <w:lang w:val="en-GB" w:eastAsia="zh-CN"/>
        </w:rPr>
        <w:t>MONEYVAL</w:t>
      </w:r>
      <w:r w:rsidRPr="00E76739">
        <w:rPr>
          <w:rFonts w:ascii="Calibri" w:eastAsia="Times New Roman" w:hAnsi="Calibri" w:cs="Calibri"/>
          <w:lang w:val="en-GB" w:eastAsia="zh-CN"/>
        </w:rPr>
        <w:t xml:space="preserve"> (2010</w:t>
      </w:r>
      <w:r w:rsidR="00AF7B68">
        <w:rPr>
          <w:rFonts w:ascii="Calibri" w:eastAsia="Times New Roman" w:hAnsi="Calibri" w:cs="Calibri"/>
          <w:lang w:val="en-GB" w:eastAsia="zh-CN"/>
        </w:rPr>
        <w:t>c</w:t>
      </w:r>
      <w:r w:rsidRPr="00E76739">
        <w:rPr>
          <w:rFonts w:ascii="Calibri" w:eastAsia="Times New Roman" w:hAnsi="Calibri" w:cs="Calibri"/>
          <w:lang w:val="en-GB" w:eastAsia="zh-CN"/>
        </w:rPr>
        <w:t>)</w:t>
      </w:r>
      <w:r w:rsidR="00AF7B68">
        <w:rPr>
          <w:rFonts w:ascii="Calibri" w:eastAsia="Times New Roman" w:hAnsi="Calibri" w:cs="Calibri"/>
          <w:lang w:val="en-GB" w:eastAsia="zh-CN"/>
        </w:rPr>
        <w:t>,</w:t>
      </w:r>
      <w:r w:rsidRPr="00E76739">
        <w:rPr>
          <w:rFonts w:ascii="Calibri" w:eastAsia="Times New Roman" w:hAnsi="Calibri" w:cs="Calibri"/>
          <w:lang w:val="en-GB" w:eastAsia="zh-CN"/>
        </w:rPr>
        <w:t xml:space="preserve"> however</w:t>
      </w:r>
      <w:r w:rsidR="00AF7B68">
        <w:rPr>
          <w:rFonts w:ascii="Calibri" w:eastAsia="Times New Roman" w:hAnsi="Calibri" w:cs="Calibri"/>
          <w:lang w:val="en-GB" w:eastAsia="zh-CN"/>
        </w:rPr>
        <w:t>,</w:t>
      </w:r>
      <w:r w:rsidRPr="00E76739">
        <w:rPr>
          <w:rFonts w:ascii="Calibri" w:eastAsia="Times New Roman" w:hAnsi="Calibri" w:cs="Calibri"/>
          <w:lang w:val="en-GB" w:eastAsia="zh-CN"/>
        </w:rPr>
        <w:t xml:space="preserve"> notes that until 2010 such joint task forces had not been registered in money laundering investigations.</w:t>
      </w:r>
      <w:r w:rsidRPr="00E76739">
        <w:rPr>
          <w:rFonts w:ascii="Calibri" w:eastAsia="Times New Roman" w:hAnsi="Calibri" w:cs="Calibri"/>
          <w:vertAlign w:val="superscript"/>
          <w:lang w:val="en-GB" w:eastAsia="zh-CN"/>
        </w:rPr>
        <w:footnoteReference w:id="44"/>
      </w:r>
    </w:p>
    <w:p w14:paraId="05384311" w14:textId="44EB2F94"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After this criminal investigation, it can be decided to forward the case to the PPO. It seems therefore that there is no direct connection between the FIU and PPO. Moreover, the HFIU is reported to lack feedback from law enforcement authorities regarding the STRs disseminated either for supporting ongoing investigations, for initiating covert investigation or for supporting covert investigation. </w:t>
      </w:r>
      <w:r w:rsidR="00307B21" w:rsidRPr="00E76739">
        <w:rPr>
          <w:rFonts w:ascii="Calibri" w:eastAsia="Times New Roman" w:hAnsi="Calibri" w:cs="Calibri"/>
          <w:lang w:val="en-GB" w:eastAsia="zh-CN"/>
        </w:rPr>
        <w:t>MONEYVAL</w:t>
      </w:r>
      <w:r w:rsidRPr="00E76739">
        <w:rPr>
          <w:rFonts w:ascii="Calibri" w:eastAsia="Times New Roman" w:hAnsi="Calibri" w:cs="Calibri"/>
          <w:lang w:val="en-GB" w:eastAsia="zh-CN"/>
        </w:rPr>
        <w:t xml:space="preserve"> (2010</w:t>
      </w:r>
      <w:r w:rsidR="0049102C">
        <w:rPr>
          <w:rFonts w:ascii="Calibri" w:eastAsia="Times New Roman" w:hAnsi="Calibri" w:cs="Calibri"/>
          <w:lang w:val="en-GB" w:eastAsia="zh-CN"/>
        </w:rPr>
        <w:t>c</w:t>
      </w:r>
      <w:r w:rsidRPr="00E76739">
        <w:rPr>
          <w:rFonts w:ascii="Calibri" w:eastAsia="Times New Roman" w:hAnsi="Calibri" w:cs="Calibri"/>
          <w:lang w:val="en-GB" w:eastAsia="zh-CN"/>
        </w:rPr>
        <w:t xml:space="preserve">) noted that such statistics were not gathered on a </w:t>
      </w:r>
      <w:r w:rsidR="00307B21">
        <w:rPr>
          <w:rFonts w:ascii="Calibri" w:eastAsia="Times New Roman" w:hAnsi="Calibri" w:cs="Calibri"/>
          <w:lang w:val="en-GB" w:eastAsia="zh-CN"/>
        </w:rPr>
        <w:t>regular</w:t>
      </w:r>
      <w:r w:rsidR="00307B21"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basis.</w:t>
      </w:r>
      <w:r w:rsidRPr="00E76739">
        <w:rPr>
          <w:rFonts w:ascii="Calibri" w:eastAsia="Times New Roman" w:hAnsi="Calibri" w:cs="Calibri"/>
          <w:vertAlign w:val="superscript"/>
          <w:lang w:val="en-GB" w:eastAsia="zh-CN"/>
        </w:rPr>
        <w:footnoteReference w:id="45"/>
      </w:r>
    </w:p>
    <w:p w14:paraId="5A7198F9" w14:textId="1A7BC186"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The prosecution service is headed by the General Prosecutor’s Office and is </w:t>
      </w:r>
      <w:r w:rsidR="0049102C" w:rsidRPr="00E76739">
        <w:rPr>
          <w:rFonts w:ascii="Calibri" w:eastAsia="Times New Roman" w:hAnsi="Calibri" w:cs="Calibri"/>
          <w:lang w:val="en-GB" w:eastAsia="zh-CN"/>
        </w:rPr>
        <w:t>organi</w:t>
      </w:r>
      <w:r w:rsidR="0049102C">
        <w:rPr>
          <w:rFonts w:ascii="Calibri" w:eastAsia="Times New Roman" w:hAnsi="Calibri" w:cs="Calibri"/>
          <w:lang w:val="en-GB" w:eastAsia="zh-CN"/>
        </w:rPr>
        <w:t>z</w:t>
      </w:r>
      <w:r w:rsidR="0049102C"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on a geographical </w:t>
      </w:r>
      <w:r w:rsidR="0049102C">
        <w:rPr>
          <w:rFonts w:ascii="Calibri" w:eastAsia="Times New Roman" w:hAnsi="Calibri" w:cs="Calibri"/>
          <w:lang w:val="en-GB" w:eastAsia="zh-CN"/>
        </w:rPr>
        <w:t>basis</w:t>
      </w:r>
      <w:r w:rsidR="0049102C"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into regional appellate prosecutors, county prosecutors and local prosecutors. Of particular interest is that within the General Prosecutor’s Office, there exists a </w:t>
      </w:r>
      <w:r w:rsidR="0049102C">
        <w:rPr>
          <w:rFonts w:ascii="Calibri" w:eastAsia="Times New Roman" w:hAnsi="Calibri" w:cs="Calibri"/>
          <w:lang w:val="en-GB" w:eastAsia="zh-CN"/>
        </w:rPr>
        <w:t>c</w:t>
      </w:r>
      <w:r w:rsidR="0049102C" w:rsidRPr="00E76739">
        <w:rPr>
          <w:rFonts w:ascii="Calibri" w:eastAsia="Times New Roman" w:hAnsi="Calibri" w:cs="Calibri"/>
          <w:lang w:val="en-GB" w:eastAsia="zh-CN"/>
        </w:rPr>
        <w:t xml:space="preserve">riminal </w:t>
      </w:r>
      <w:r w:rsidR="0049102C">
        <w:rPr>
          <w:rFonts w:ascii="Calibri" w:eastAsia="Times New Roman" w:hAnsi="Calibri" w:cs="Calibri"/>
          <w:lang w:val="en-GB" w:eastAsia="zh-CN"/>
        </w:rPr>
        <w:t>l</w:t>
      </w:r>
      <w:r w:rsidR="0049102C" w:rsidRPr="00E76739">
        <w:rPr>
          <w:rFonts w:ascii="Calibri" w:eastAsia="Times New Roman" w:hAnsi="Calibri" w:cs="Calibri"/>
          <w:lang w:val="en-GB" w:eastAsia="zh-CN"/>
        </w:rPr>
        <w:t xml:space="preserve">aw </w:t>
      </w:r>
      <w:r w:rsidR="0049102C">
        <w:rPr>
          <w:rFonts w:ascii="Calibri" w:eastAsia="Times New Roman" w:hAnsi="Calibri" w:cs="Calibri"/>
          <w:lang w:val="en-GB" w:eastAsia="zh-CN"/>
        </w:rPr>
        <w:t>d</w:t>
      </w:r>
      <w:r w:rsidR="0049102C" w:rsidRPr="00E76739">
        <w:rPr>
          <w:rFonts w:ascii="Calibri" w:eastAsia="Times New Roman" w:hAnsi="Calibri" w:cs="Calibri"/>
          <w:lang w:val="en-GB" w:eastAsia="zh-CN"/>
        </w:rPr>
        <w:t xml:space="preserve">ivision </w:t>
      </w:r>
      <w:r w:rsidRPr="00E76739">
        <w:rPr>
          <w:rFonts w:ascii="Calibri" w:eastAsia="Times New Roman" w:hAnsi="Calibri" w:cs="Calibri"/>
          <w:lang w:val="en-GB" w:eastAsia="zh-CN"/>
        </w:rPr>
        <w:t xml:space="preserve">which includes amongst others a </w:t>
      </w:r>
      <w:r w:rsidR="0049102C">
        <w:rPr>
          <w:rFonts w:ascii="Calibri" w:eastAsia="Times New Roman" w:hAnsi="Calibri" w:cs="Calibri"/>
          <w:lang w:val="en-GB" w:eastAsia="zh-CN"/>
        </w:rPr>
        <w:t>d</w:t>
      </w:r>
      <w:r w:rsidR="0049102C" w:rsidRPr="00E76739">
        <w:rPr>
          <w:rFonts w:ascii="Calibri" w:eastAsia="Times New Roman" w:hAnsi="Calibri" w:cs="Calibri"/>
          <w:lang w:val="en-GB" w:eastAsia="zh-CN"/>
        </w:rPr>
        <w:t xml:space="preserve">epartment </w:t>
      </w:r>
      <w:r w:rsidRPr="00E76739">
        <w:rPr>
          <w:rFonts w:ascii="Calibri" w:eastAsia="Times New Roman" w:hAnsi="Calibri" w:cs="Calibri"/>
          <w:lang w:val="en-GB" w:eastAsia="zh-CN"/>
        </w:rPr>
        <w:t xml:space="preserve">for the </w:t>
      </w:r>
      <w:r w:rsidR="0049102C">
        <w:rPr>
          <w:rFonts w:ascii="Calibri" w:eastAsia="Times New Roman" w:hAnsi="Calibri" w:cs="Calibri"/>
          <w:lang w:val="en-GB" w:eastAsia="zh-CN"/>
        </w:rPr>
        <w:t>s</w:t>
      </w:r>
      <w:r w:rsidR="0049102C" w:rsidRPr="00E76739">
        <w:rPr>
          <w:rFonts w:ascii="Calibri" w:eastAsia="Times New Roman" w:hAnsi="Calibri" w:cs="Calibri"/>
          <w:lang w:val="en-GB" w:eastAsia="zh-CN"/>
        </w:rPr>
        <w:t xml:space="preserve">upervision </w:t>
      </w:r>
      <w:r w:rsidRPr="00E76739">
        <w:rPr>
          <w:rFonts w:ascii="Calibri" w:eastAsia="Times New Roman" w:hAnsi="Calibri" w:cs="Calibri"/>
          <w:lang w:val="en-GB" w:eastAsia="zh-CN"/>
        </w:rPr>
        <w:t xml:space="preserve">of </w:t>
      </w:r>
      <w:r w:rsidR="0049102C">
        <w:rPr>
          <w:rFonts w:ascii="Calibri" w:eastAsia="Times New Roman" w:hAnsi="Calibri" w:cs="Calibri"/>
          <w:lang w:val="en-GB" w:eastAsia="zh-CN"/>
        </w:rPr>
        <w:t>i</w:t>
      </w:r>
      <w:r w:rsidR="0049102C" w:rsidRPr="00E76739">
        <w:rPr>
          <w:rFonts w:ascii="Calibri" w:eastAsia="Times New Roman" w:hAnsi="Calibri" w:cs="Calibri"/>
          <w:lang w:val="en-GB" w:eastAsia="zh-CN"/>
        </w:rPr>
        <w:t xml:space="preserve">nvestigations </w:t>
      </w:r>
      <w:r w:rsidRPr="00E76739">
        <w:rPr>
          <w:rFonts w:ascii="Calibri" w:eastAsia="Times New Roman" w:hAnsi="Calibri" w:cs="Calibri"/>
          <w:lang w:val="en-GB" w:eastAsia="zh-CN"/>
        </w:rPr>
        <w:t xml:space="preserve">and a department for special cases. According to </w:t>
      </w:r>
      <w:r w:rsidR="0049102C" w:rsidRPr="00E76739">
        <w:rPr>
          <w:rFonts w:ascii="Calibri" w:eastAsia="Times New Roman" w:hAnsi="Calibri" w:cs="Calibri"/>
          <w:lang w:val="en-GB" w:eastAsia="zh-CN"/>
        </w:rPr>
        <w:t>MONEYVAL</w:t>
      </w:r>
      <w:r w:rsidRPr="00E76739">
        <w:rPr>
          <w:rFonts w:ascii="Calibri" w:eastAsia="Times New Roman" w:hAnsi="Calibri" w:cs="Calibri"/>
          <w:lang w:val="en-GB" w:eastAsia="zh-CN"/>
        </w:rPr>
        <w:t xml:space="preserve"> (2010</w:t>
      </w:r>
      <w:r w:rsidR="0049102C">
        <w:rPr>
          <w:rFonts w:ascii="Calibri" w:eastAsia="Times New Roman" w:hAnsi="Calibri" w:cs="Calibri"/>
          <w:lang w:val="en-GB" w:eastAsia="zh-CN"/>
        </w:rPr>
        <w:t>c</w:t>
      </w:r>
      <w:r w:rsidRPr="00E76739">
        <w:rPr>
          <w:rFonts w:ascii="Calibri" w:eastAsia="Times New Roman" w:hAnsi="Calibri" w:cs="Calibri"/>
          <w:lang w:val="en-GB" w:eastAsia="zh-CN"/>
        </w:rPr>
        <w:t xml:space="preserve">), this </w:t>
      </w:r>
      <w:r w:rsidR="0049102C">
        <w:rPr>
          <w:rFonts w:ascii="Calibri" w:eastAsia="Times New Roman" w:hAnsi="Calibri" w:cs="Calibri"/>
          <w:lang w:val="en-GB" w:eastAsia="zh-CN"/>
        </w:rPr>
        <w:t>s</w:t>
      </w:r>
      <w:r w:rsidR="0049102C" w:rsidRPr="00E76739">
        <w:rPr>
          <w:rFonts w:ascii="Calibri" w:eastAsia="Times New Roman" w:hAnsi="Calibri" w:cs="Calibri"/>
          <w:lang w:val="en-GB" w:eastAsia="zh-CN"/>
        </w:rPr>
        <w:t xml:space="preserve">epartment </w:t>
      </w:r>
      <w:r w:rsidRPr="00E76739">
        <w:rPr>
          <w:rFonts w:ascii="Calibri" w:eastAsia="Times New Roman" w:hAnsi="Calibri" w:cs="Calibri"/>
          <w:lang w:val="en-GB" w:eastAsia="zh-CN"/>
        </w:rPr>
        <w:t xml:space="preserve">was set up on 1 July 2001 and is supervised by the Deputy Prosecutor General. The department is allowed to monitor special cases of interest – among </w:t>
      </w:r>
      <w:r w:rsidR="0049102C">
        <w:rPr>
          <w:rFonts w:ascii="Calibri" w:eastAsia="Times New Roman" w:hAnsi="Calibri" w:cs="Calibri"/>
          <w:lang w:val="en-GB" w:eastAsia="zh-CN"/>
        </w:rPr>
        <w:t>them</w:t>
      </w:r>
      <w:r w:rsidR="0049102C"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money laundering and terrorism financing cases. The county prosecution offices have an office for criminal investigations, a division for supervising investigations and a division for court proceedings. It is however unclear whether these prosecutorial structures are </w:t>
      </w:r>
      <w:r w:rsidR="0049102C" w:rsidRPr="00E76739">
        <w:rPr>
          <w:rFonts w:ascii="Calibri" w:eastAsia="Times New Roman" w:hAnsi="Calibri" w:cs="Calibri"/>
          <w:lang w:val="en-GB" w:eastAsia="zh-CN"/>
        </w:rPr>
        <w:t>speciali</w:t>
      </w:r>
      <w:r w:rsidR="0049102C">
        <w:rPr>
          <w:rFonts w:ascii="Calibri" w:eastAsia="Times New Roman" w:hAnsi="Calibri" w:cs="Calibri"/>
          <w:lang w:val="en-GB" w:eastAsia="zh-CN"/>
        </w:rPr>
        <w:t>z</w:t>
      </w:r>
      <w:r w:rsidR="0049102C"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prosecutorial structures that handle cases of money laundering and terrorism financing. </w:t>
      </w:r>
      <w:r w:rsidR="0049102C" w:rsidRPr="00E76739">
        <w:rPr>
          <w:rFonts w:ascii="Calibri" w:eastAsia="Times New Roman" w:hAnsi="Calibri" w:cs="Calibri"/>
          <w:lang w:val="en-GB" w:eastAsia="zh-CN"/>
        </w:rPr>
        <w:t>MONEYVAL</w:t>
      </w:r>
      <w:r w:rsidRPr="00E76739">
        <w:rPr>
          <w:rFonts w:ascii="Calibri" w:eastAsia="Times New Roman" w:hAnsi="Calibri" w:cs="Calibri"/>
          <w:lang w:val="en-GB" w:eastAsia="zh-CN"/>
        </w:rPr>
        <w:t xml:space="preserve"> reports that in 2010 approximately 8% of the Hungarian prosecutors dealt with economic crimes.</w:t>
      </w:r>
      <w:r w:rsidRPr="00E76739">
        <w:rPr>
          <w:rFonts w:ascii="Calibri" w:eastAsia="Times New Roman" w:hAnsi="Calibri" w:cs="Calibri"/>
          <w:vertAlign w:val="superscript"/>
          <w:lang w:val="en-GB" w:eastAsia="zh-CN"/>
        </w:rPr>
        <w:footnoteReference w:id="46"/>
      </w:r>
      <w:r w:rsidRPr="00E76739">
        <w:rPr>
          <w:rFonts w:ascii="Calibri" w:eastAsia="Times New Roman" w:hAnsi="Calibri" w:cs="Calibri"/>
          <w:lang w:val="en-GB" w:eastAsia="zh-CN"/>
        </w:rPr>
        <w:t xml:space="preserve"> Furthermore, courts and prosecutors are reported to have had extensive training in money laundering techniques but that further training is needed.</w:t>
      </w:r>
      <w:r w:rsidRPr="00E76739">
        <w:rPr>
          <w:rFonts w:ascii="Calibri" w:eastAsia="Times New Roman" w:hAnsi="Calibri" w:cs="Calibri"/>
          <w:vertAlign w:val="superscript"/>
          <w:lang w:val="en-GB" w:eastAsia="zh-CN"/>
        </w:rPr>
        <w:footnoteReference w:id="47"/>
      </w:r>
    </w:p>
    <w:p w14:paraId="53067254" w14:textId="77777777" w:rsidR="00E76739" w:rsidRPr="00E76739" w:rsidRDefault="00E76739" w:rsidP="00E76739">
      <w:pPr>
        <w:spacing w:after="0" w:line="240" w:lineRule="auto"/>
        <w:jc w:val="both"/>
        <w:rPr>
          <w:rFonts w:ascii="Calibri" w:eastAsia="SimSun" w:hAnsi="Calibri" w:cs="Times New Roman"/>
          <w:b/>
          <w:bCs/>
          <w:lang w:val="en-GB" w:eastAsia="zh-CN"/>
        </w:rPr>
      </w:pPr>
      <w:bookmarkStart w:id="48" w:name="_Toc341109089"/>
      <w:bookmarkStart w:id="49" w:name="_Toc341266529"/>
      <w:bookmarkStart w:id="50" w:name="_Toc341269284"/>
    </w:p>
    <w:p w14:paraId="395CF39B"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3DFA5B26"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.5.13 Ireland</w:t>
      </w:r>
      <w:bookmarkEnd w:id="48"/>
      <w:bookmarkEnd w:id="49"/>
      <w:bookmarkEnd w:id="50"/>
    </w:p>
    <w:p w14:paraId="4887927A"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140B2BB6" w14:textId="0F3427B4"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Ireland the </w:t>
      </w:r>
      <w:r w:rsidR="0049102C">
        <w:rPr>
          <w:rFonts w:ascii="Calibri" w:eastAsia="Calibri" w:hAnsi="Calibri" w:cs="Times New Roman"/>
          <w:lang w:val="en-GB" w:eastAsia="zh-CN"/>
        </w:rPr>
        <w:t>2010</w:t>
      </w:r>
      <w:r w:rsidRPr="00E76739">
        <w:rPr>
          <w:rFonts w:ascii="Calibri" w:eastAsia="Calibri" w:hAnsi="Calibri" w:cs="Times New Roman"/>
          <w:lang w:val="en-GB" w:eastAsia="zh-CN"/>
        </w:rPr>
        <w:t xml:space="preserve">Act stipulates that STRs must be submitted to both </w:t>
      </w:r>
      <w:r w:rsidR="0049102C">
        <w:rPr>
          <w:rFonts w:ascii="Calibri" w:eastAsia="Calibri" w:hAnsi="Calibri" w:cs="Times New Roman"/>
          <w:lang w:val="en-GB" w:eastAsia="zh-CN"/>
        </w:rPr>
        <w:t xml:space="preserve">the </w:t>
      </w:r>
      <w:r w:rsidRPr="00E76739">
        <w:rPr>
          <w:rFonts w:ascii="Calibri" w:eastAsia="Calibri" w:hAnsi="Calibri" w:cs="Times New Roman"/>
          <w:lang w:val="en-GB" w:eastAsia="zh-CN"/>
        </w:rPr>
        <w:t>FIU and the Revenue Commissioners. Both authorities receive STRs at the same time. The Revenue Commissioners take a special interest in tax evasion</w:t>
      </w:r>
      <w:r w:rsidR="0049102C">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matters, and view STRs from this perspective. If it is believed that proceeds can be confiscated in a civil litigation, the Revenue Commissioners will take action. About 95% of the STRs are dealt with from a civil perspective. Both </w:t>
      </w:r>
      <w:r w:rsidR="0049102C">
        <w:rPr>
          <w:rFonts w:ascii="Calibri" w:eastAsia="Calibri" w:hAnsi="Calibri" w:cs="Times New Roman"/>
          <w:lang w:val="en-GB" w:eastAsia="zh-CN"/>
        </w:rPr>
        <w:t xml:space="preserve">the </w:t>
      </w:r>
      <w:r w:rsidRPr="00E76739">
        <w:rPr>
          <w:rFonts w:ascii="Calibri" w:eastAsia="Calibri" w:hAnsi="Calibri" w:cs="Times New Roman"/>
          <w:lang w:val="en-GB" w:eastAsia="zh-CN"/>
        </w:rPr>
        <w:t xml:space="preserve">FIU and </w:t>
      </w:r>
      <w:r w:rsidR="0049102C">
        <w:rPr>
          <w:rFonts w:ascii="Calibri" w:eastAsia="Calibri" w:hAnsi="Calibri" w:cs="Times New Roman"/>
          <w:lang w:val="en-GB" w:eastAsia="zh-CN"/>
        </w:rPr>
        <w:t>t</w:t>
      </w:r>
      <w:r w:rsidR="0049102C" w:rsidRPr="00E76739">
        <w:rPr>
          <w:rFonts w:ascii="Calibri" w:eastAsia="Calibri" w:hAnsi="Calibri" w:cs="Times New Roman"/>
          <w:lang w:val="en-GB" w:eastAsia="zh-CN"/>
        </w:rPr>
        <w:t xml:space="preserve">he </w:t>
      </w:r>
      <w:r w:rsidRPr="00E76739">
        <w:rPr>
          <w:rFonts w:ascii="Calibri" w:eastAsia="Calibri" w:hAnsi="Calibri" w:cs="Times New Roman"/>
          <w:lang w:val="en-GB" w:eastAsia="zh-CN"/>
        </w:rPr>
        <w:t>Revenue Commissioners have an STR database. Furthermore, the Irish representatives mention the existence of a Memorandum of Understanding between the Revenue Commissioners and the UK’s HMRC for the exchange of STR information. This is said to be a unique construction.</w:t>
      </w:r>
    </w:p>
    <w:p w14:paraId="0B98B359" w14:textId="28E71D43"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FIU and the Revenue Commissioners meet every six to eight weeks </w:t>
      </w:r>
      <w:r w:rsidR="0049102C">
        <w:rPr>
          <w:rFonts w:ascii="Calibri" w:eastAsia="Calibri" w:hAnsi="Calibri" w:cs="Times New Roman"/>
          <w:lang w:val="en-GB" w:eastAsia="zh-CN"/>
        </w:rPr>
        <w:t>to</w:t>
      </w:r>
      <w:r w:rsidRPr="00E76739">
        <w:rPr>
          <w:rFonts w:ascii="Calibri" w:eastAsia="Calibri" w:hAnsi="Calibri" w:cs="Times New Roman"/>
          <w:lang w:val="en-GB" w:eastAsia="zh-CN"/>
        </w:rPr>
        <w:t xml:space="preserve"> discuss which STRs will be picked up by the FIU and which can be passed to the Revenue Commissioners. In principle the FIU takes the lead in deciding whether it will proceed with an STR or whether it should be passed to the Revenue Commissioners. However, the contrary also happens: if the Revenue Commissioners think that an STR contains information that the police should further investigate, the STR is passed on to the FIU. Hence, in </w:t>
      </w:r>
      <w:r w:rsidR="0049102C">
        <w:rPr>
          <w:rFonts w:ascii="Calibri" w:eastAsia="Calibri" w:hAnsi="Calibri" w:cs="Times New Roman"/>
          <w:lang w:val="en-GB" w:eastAsia="zh-CN"/>
        </w:rPr>
        <w:t xml:space="preserve">the </w:t>
      </w:r>
      <w:r w:rsidRPr="00E76739">
        <w:rPr>
          <w:rFonts w:ascii="Calibri" w:eastAsia="Calibri" w:hAnsi="Calibri" w:cs="Times New Roman"/>
          <w:lang w:val="en-GB" w:eastAsia="zh-CN"/>
        </w:rPr>
        <w:t xml:space="preserve">early stages </w:t>
      </w:r>
      <w:r w:rsidR="0049102C">
        <w:rPr>
          <w:rFonts w:ascii="Calibri" w:eastAsia="Calibri" w:hAnsi="Calibri" w:cs="Times New Roman"/>
          <w:lang w:val="en-GB" w:eastAsia="zh-CN"/>
        </w:rPr>
        <w:t xml:space="preserve">the </w:t>
      </w:r>
      <w:r w:rsidRPr="00E76739">
        <w:rPr>
          <w:rFonts w:ascii="Calibri" w:eastAsia="Calibri" w:hAnsi="Calibri" w:cs="Times New Roman"/>
          <w:lang w:val="en-GB" w:eastAsia="zh-CN"/>
        </w:rPr>
        <w:t>FIU and the Revenue Commissioners work together to make sure that there is no overlap in the analysis and actions taken on the basis of an STR.</w:t>
      </w:r>
    </w:p>
    <w:p w14:paraId="7C2502B8" w14:textId="39877AC5"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FIU in Ireland is a small subsection of An Garda Síochána, the Irish police force. The FIU falls under the National Support Services, under the Bureau of Fraud Investigations, and works in close contact with two police investigative units that also fall under An Garda Síochána. Once the FIU receives an STR</w:t>
      </w:r>
      <w:r w:rsidR="00B87B8C">
        <w:rPr>
          <w:rFonts w:ascii="Calibri" w:eastAsia="Calibri" w:hAnsi="Calibri" w:cs="Times New Roman"/>
          <w:lang w:val="en-GB" w:eastAsia="zh-CN"/>
        </w:rPr>
        <w:t>,</w:t>
      </w:r>
      <w:r w:rsidRPr="00E76739">
        <w:rPr>
          <w:rFonts w:ascii="Calibri" w:eastAsia="Calibri" w:hAnsi="Calibri" w:cs="Times New Roman"/>
          <w:lang w:val="en-GB" w:eastAsia="zh-CN"/>
        </w:rPr>
        <w:t xml:space="preserve"> it will conduct a preliminary analysis and</w:t>
      </w:r>
      <w:r w:rsidR="00B87B8C">
        <w:rPr>
          <w:rFonts w:ascii="Calibri" w:eastAsia="Calibri" w:hAnsi="Calibri" w:cs="Times New Roman"/>
          <w:lang w:val="en-GB" w:eastAsia="zh-CN"/>
        </w:rPr>
        <w:t>,</w:t>
      </w:r>
      <w:r w:rsidRPr="00E76739">
        <w:rPr>
          <w:rFonts w:ascii="Calibri" w:eastAsia="Calibri" w:hAnsi="Calibri" w:cs="Times New Roman"/>
          <w:lang w:val="en-GB" w:eastAsia="zh-CN"/>
        </w:rPr>
        <w:t xml:space="preserve"> </w:t>
      </w:r>
      <w:r w:rsidR="00B87B8C">
        <w:rPr>
          <w:rFonts w:ascii="Calibri" w:eastAsia="Calibri" w:hAnsi="Calibri" w:cs="Times New Roman"/>
          <w:lang w:val="en-GB" w:eastAsia="zh-CN"/>
        </w:rPr>
        <w:t>depending on</w:t>
      </w:r>
      <w:r w:rsidR="00B87B8C"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the nature of the case</w:t>
      </w:r>
      <w:r w:rsidR="00B87B8C">
        <w:rPr>
          <w:rFonts w:ascii="Calibri" w:eastAsia="Calibri" w:hAnsi="Calibri" w:cs="Times New Roman"/>
          <w:lang w:val="en-GB" w:eastAsia="zh-CN"/>
        </w:rPr>
        <w:t>,</w:t>
      </w:r>
      <w:r w:rsidRPr="00E76739">
        <w:rPr>
          <w:rFonts w:ascii="Calibri" w:eastAsia="Calibri" w:hAnsi="Calibri" w:cs="Times New Roman"/>
          <w:lang w:val="en-GB" w:eastAsia="zh-CN"/>
        </w:rPr>
        <w:t xml:space="preserve"> it will forward it to the most appropriate investigative units within the An Garda S</w:t>
      </w:r>
      <w:r w:rsidR="00B87B8C">
        <w:rPr>
          <w:rFonts w:ascii="Calibri" w:eastAsia="Calibri" w:hAnsi="Calibri" w:cs="Times New Roman"/>
          <w:lang w:val="en-GB" w:eastAsia="zh-CN"/>
        </w:rPr>
        <w:t>í</w:t>
      </w:r>
      <w:r w:rsidRPr="00E76739">
        <w:rPr>
          <w:rFonts w:ascii="Calibri" w:eastAsia="Calibri" w:hAnsi="Calibri" w:cs="Times New Roman"/>
          <w:lang w:val="en-GB" w:eastAsia="zh-CN"/>
        </w:rPr>
        <w:t>och</w:t>
      </w:r>
      <w:r w:rsidR="00B87B8C" w:rsidRPr="00B87B8C">
        <w:rPr>
          <w:rFonts w:ascii="Calibri" w:eastAsia="Calibri" w:hAnsi="Calibri" w:cs="Times New Roman"/>
          <w:lang w:val="en-GB" w:eastAsia="zh-CN"/>
        </w:rPr>
        <w:t>á</w:t>
      </w:r>
      <w:r w:rsidRPr="00E76739">
        <w:rPr>
          <w:rFonts w:ascii="Calibri" w:eastAsia="Calibri" w:hAnsi="Calibri" w:cs="Times New Roman"/>
          <w:lang w:val="en-GB" w:eastAsia="zh-CN"/>
        </w:rPr>
        <w:t xml:space="preserve">na. The advantage of a small police force, according to the Irish representatives, is that there is less bureaucracy. Furthermore, this means that the FIU receives good feedback from the investigative authorities </w:t>
      </w:r>
      <w:r w:rsidR="00B87B8C">
        <w:rPr>
          <w:rFonts w:ascii="Calibri" w:eastAsia="Calibri" w:hAnsi="Calibri" w:cs="Times New Roman"/>
          <w:lang w:val="en-GB" w:eastAsia="zh-CN"/>
        </w:rPr>
        <w:t xml:space="preserve">to which </w:t>
      </w:r>
      <w:r w:rsidRPr="00E76739">
        <w:rPr>
          <w:rFonts w:ascii="Calibri" w:eastAsia="Calibri" w:hAnsi="Calibri" w:cs="Times New Roman"/>
          <w:lang w:val="en-GB" w:eastAsia="zh-CN"/>
        </w:rPr>
        <w:t>it forwards its cases.</w:t>
      </w:r>
    </w:p>
    <w:p w14:paraId="32E63F2F" w14:textId="1D7DB4B4"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An Garda Síochána does the investigation independently </w:t>
      </w:r>
      <w:r w:rsidR="00DD2CF2">
        <w:rPr>
          <w:rFonts w:ascii="Calibri" w:eastAsia="Calibri" w:hAnsi="Calibri" w:cs="Times New Roman"/>
          <w:lang w:val="en-GB" w:eastAsia="zh-CN"/>
        </w:rPr>
        <w:t>of</w:t>
      </w:r>
      <w:r w:rsidR="00DD2CF2"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the Office of the Director of Public Prosecutions (DPP). The DPP is involved as advisors at the request of the police. The latter however is not standard. The ‘regular’ procedure, according to the Irish representatives, is that the An Garda Síochána first performs its criminal investigation, after which the case file is sent to </w:t>
      </w:r>
      <w:r w:rsidR="00DD2CF2">
        <w:rPr>
          <w:rFonts w:ascii="Calibri" w:eastAsia="Calibri" w:hAnsi="Calibri" w:cs="Times New Roman"/>
          <w:lang w:val="en-GB" w:eastAsia="zh-CN"/>
        </w:rPr>
        <w:t xml:space="preserve">the </w:t>
      </w:r>
      <w:r w:rsidRPr="00E76739">
        <w:rPr>
          <w:rFonts w:ascii="Calibri" w:eastAsia="Calibri" w:hAnsi="Calibri" w:cs="Times New Roman"/>
          <w:lang w:val="en-GB" w:eastAsia="zh-CN"/>
        </w:rPr>
        <w:t>DPP. The DPP decides thereafter whether to prosecute or not.</w:t>
      </w:r>
    </w:p>
    <w:p w14:paraId="4612CF1B" w14:textId="7A8A2EC2" w:rsidR="00E76739" w:rsidRPr="00E76739" w:rsidRDefault="00E76739" w:rsidP="00E76739">
      <w:pPr>
        <w:spacing w:after="0" w:line="240" w:lineRule="auto"/>
        <w:jc w:val="center"/>
        <w:rPr>
          <w:rFonts w:ascii="Calibri" w:eastAsia="SimSun" w:hAnsi="Calibri" w:cs="Times New Roman"/>
          <w:b/>
          <w:lang w:val="en-GB" w:eastAsia="zh-CN"/>
        </w:rPr>
      </w:pPr>
      <w:bookmarkStart w:id="51" w:name="_Toc350517104"/>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AA2DA9" w:rsidRPr="00E76739">
        <w:rPr>
          <w:rFonts w:ascii="Calibri" w:eastAsia="SimSun" w:hAnsi="Calibri" w:cs="Times New Roman"/>
          <w:b/>
          <w:lang w:val="en-GB" w:eastAsia="zh-CN"/>
        </w:rPr>
        <w:t>1</w:t>
      </w:r>
      <w:r w:rsidR="00AA2DA9">
        <w:rPr>
          <w:rFonts w:ascii="Calibri" w:eastAsia="SimSun" w:hAnsi="Calibri" w:cs="Times New Roman"/>
          <w:b/>
          <w:lang w:val="en-GB" w:eastAsia="zh-CN"/>
        </w:rPr>
        <w:t>7</w:t>
      </w:r>
      <w:r w:rsidRPr="00E76739">
        <w:rPr>
          <w:rFonts w:ascii="Calibri" w:eastAsia="SimSun" w:hAnsi="Calibri" w:cs="Times New Roman"/>
          <w:b/>
          <w:lang w:val="en-GB" w:eastAsia="zh-CN"/>
        </w:rPr>
        <w:t xml:space="preserve">: AML/CTF Information flows in </w:t>
      </w:r>
      <w:commentRangeStart w:id="52"/>
      <w:commentRangeStart w:id="53"/>
      <w:r w:rsidRPr="00E76739">
        <w:rPr>
          <w:rFonts w:ascii="Calibri" w:eastAsia="SimSun" w:hAnsi="Calibri" w:cs="Times New Roman"/>
          <w:b/>
          <w:lang w:val="en-GB" w:eastAsia="zh-CN"/>
        </w:rPr>
        <w:t>Ireland</w:t>
      </w:r>
      <w:bookmarkEnd w:id="51"/>
      <w:commentRangeEnd w:id="52"/>
      <w:r w:rsidR="00DD2CF2">
        <w:rPr>
          <w:rStyle w:val="CommentReference"/>
        </w:rPr>
        <w:commentReference w:id="52"/>
      </w:r>
      <w:commentRangeEnd w:id="53"/>
      <w:r w:rsidR="00B06A04">
        <w:rPr>
          <w:rStyle w:val="CommentReference"/>
        </w:rPr>
        <w:commentReference w:id="53"/>
      </w:r>
    </w:p>
    <w:p w14:paraId="5AA02143" w14:textId="77777777" w:rsidR="00E76739" w:rsidRPr="00E76739" w:rsidRDefault="00E76739" w:rsidP="00E76739">
      <w:pPr>
        <w:spacing w:after="0" w:line="240" w:lineRule="auto"/>
        <w:jc w:val="both"/>
        <w:rPr>
          <w:rFonts w:ascii="Calibri" w:eastAsia="SimSun" w:hAnsi="Calibri" w:cs="Times New Roman"/>
          <w:b/>
          <w:lang w:val="en-GB" w:eastAsia="zh-CN"/>
        </w:rPr>
      </w:pPr>
    </w:p>
    <w:p w14:paraId="4C28FB1B" w14:textId="77777777" w:rsidR="00E76739" w:rsidRPr="00E76739" w:rsidRDefault="00E76739" w:rsidP="00E76739">
      <w:pPr>
        <w:spacing w:after="0" w:line="240" w:lineRule="auto"/>
        <w:jc w:val="both"/>
        <w:rPr>
          <w:rFonts w:ascii="Calibri" w:eastAsia="Calibri" w:hAnsi="Calibri" w:cs="Times New Roman"/>
          <w:b/>
          <w:u w:val="single"/>
          <w:lang w:val="en-GB" w:eastAsia="zh-CN"/>
        </w:rPr>
      </w:pPr>
      <w:r w:rsidRPr="00E76739">
        <w:rPr>
          <w:rFonts w:ascii="Calibri" w:eastAsia="Calibri" w:hAnsi="Calibri" w:cs="Times New Roman"/>
          <w:b/>
          <w:noProof/>
          <w:u w:val="single"/>
          <w:lang w:val="en-US" w:eastAsia="en-US"/>
        </w:rPr>
        <w:drawing>
          <wp:inline distT="0" distB="0" distL="0" distR="0" wp14:anchorId="3344ED2E" wp14:editId="764BDDB1">
            <wp:extent cx="5903285" cy="2867401"/>
            <wp:effectExtent l="19050" t="0" r="2215" b="0"/>
            <wp:docPr id="32" name="Picture 82" descr="IrelandInformationFl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InformationFlow.jpeg"/>
                    <pic:cNvPicPr/>
                  </pic:nvPicPr>
                  <pic:blipFill>
                    <a:blip r:embed="rId19" cstate="print"/>
                    <a:srcRect l="4866" t="14023" r="5342" b="30493"/>
                    <a:stretch>
                      <a:fillRect/>
                    </a:stretch>
                  </pic:blipFill>
                  <pic:spPr>
                    <a:xfrm>
                      <a:off x="0" y="0"/>
                      <a:ext cx="5903285" cy="2867401"/>
                    </a:xfrm>
                    <a:prstGeom prst="rect">
                      <a:avLst/>
                    </a:prstGeom>
                  </pic:spPr>
                </pic:pic>
              </a:graphicData>
            </a:graphic>
          </wp:inline>
        </w:drawing>
      </w:r>
    </w:p>
    <w:p w14:paraId="5B3606A2" w14:textId="4610BBA1" w:rsidR="00E76739" w:rsidRPr="00E76739" w:rsidRDefault="00E76739" w:rsidP="00E76739">
      <w:pPr>
        <w:spacing w:after="240" w:line="240" w:lineRule="auto"/>
        <w:jc w:val="both"/>
        <w:rPr>
          <w:rFonts w:ascii="Calibri" w:eastAsia="Calibri" w:hAnsi="Calibri" w:cs="Times New Roman"/>
          <w:sz w:val="20"/>
          <w:szCs w:val="20"/>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102166">
        <w:rPr>
          <w:rFonts w:ascii="Calibri" w:eastAsia="Calibri" w:hAnsi="Calibri" w:cs="Times New Roman"/>
          <w:i/>
          <w:sz w:val="20"/>
          <w:szCs w:val="20"/>
          <w:lang w:val="en-GB" w:eastAsia="zh-CN"/>
        </w:rPr>
        <w:t>both</w:t>
      </w:r>
      <w:r w:rsidR="00102166"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102166" w:rsidRPr="00E76739">
        <w:rPr>
          <w:rFonts w:ascii="Calibri" w:eastAsia="Calibri" w:hAnsi="Calibri" w:cs="Times New Roman"/>
          <w:i/>
          <w:sz w:val="20"/>
          <w:szCs w:val="20"/>
          <w:lang w:val="en-GB" w:eastAsia="zh-CN"/>
        </w:rPr>
        <w:t>speciali</w:t>
      </w:r>
      <w:r w:rsidR="00102166">
        <w:rPr>
          <w:rFonts w:ascii="Calibri" w:eastAsia="Calibri" w:hAnsi="Calibri" w:cs="Times New Roman"/>
          <w:i/>
          <w:sz w:val="20"/>
          <w:szCs w:val="20"/>
          <w:lang w:val="en-GB" w:eastAsia="zh-CN"/>
        </w:rPr>
        <w:t>z</w:t>
      </w:r>
      <w:r w:rsidR="00102166"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in dealing with ML/TF cases</w:t>
      </w:r>
      <w:r w:rsidRPr="00E76739">
        <w:rPr>
          <w:rFonts w:ascii="Calibri" w:eastAsia="Calibri" w:hAnsi="Calibri" w:cs="Times New Roman"/>
          <w:sz w:val="20"/>
          <w:szCs w:val="20"/>
          <w:lang w:val="en-GB" w:eastAsia="zh-CN"/>
        </w:rPr>
        <w:t xml:space="preserve">. </w:t>
      </w:r>
    </w:p>
    <w:p w14:paraId="42A96E29" w14:textId="0AFAE0B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Irish prosecution system has strong common law origins that have given it its current shape. Historically, before the 18</w:t>
      </w:r>
      <w:r w:rsidRPr="003E5910">
        <w:rPr>
          <w:rFonts w:ascii="Calibri" w:eastAsia="Calibri" w:hAnsi="Calibri" w:cs="Times New Roman"/>
          <w:lang w:val="en-GB" w:eastAsia="zh-CN"/>
        </w:rPr>
        <w:t>th</w:t>
      </w:r>
      <w:r w:rsidRPr="00E76739">
        <w:rPr>
          <w:rFonts w:ascii="Calibri" w:eastAsia="Calibri" w:hAnsi="Calibri" w:cs="Times New Roman"/>
          <w:lang w:val="en-GB" w:eastAsia="zh-CN"/>
        </w:rPr>
        <w:t xml:space="preserve"> century criminal prosecution in Ireland was brought by individuals in a similar way </w:t>
      </w:r>
      <w:r w:rsidR="00FB598A">
        <w:rPr>
          <w:rFonts w:ascii="Calibri" w:eastAsia="Calibri" w:hAnsi="Calibri" w:cs="Times New Roman"/>
          <w:lang w:val="en-GB" w:eastAsia="zh-CN"/>
        </w:rPr>
        <w:t xml:space="preserve">to </w:t>
      </w:r>
      <w:r w:rsidRPr="00E76739">
        <w:rPr>
          <w:rFonts w:ascii="Calibri" w:eastAsia="Calibri" w:hAnsi="Calibri" w:cs="Times New Roman"/>
          <w:lang w:val="en-GB" w:eastAsia="zh-CN"/>
        </w:rPr>
        <w:t>civil actions. The victim therefore was most likely the prosecutor. In the course of the 20</w:t>
      </w:r>
      <w:r w:rsidRPr="003E5910">
        <w:rPr>
          <w:rFonts w:ascii="Calibri" w:eastAsia="Calibri" w:hAnsi="Calibri" w:cs="Times New Roman"/>
          <w:lang w:val="en-GB" w:eastAsia="zh-CN"/>
        </w:rPr>
        <w:t>th</w:t>
      </w:r>
      <w:r w:rsidRPr="00E76739">
        <w:rPr>
          <w:rFonts w:ascii="Calibri" w:eastAsia="Calibri" w:hAnsi="Calibri" w:cs="Times New Roman"/>
          <w:lang w:val="en-GB" w:eastAsia="zh-CN"/>
        </w:rPr>
        <w:t xml:space="preserve"> century statutes were created by the Irish legislator to solely empower the Office of the District Public Prosecutions with the prosecution of indictments – i.e. trials before a judge and jury. Accordingly the notion of independent and permanent prosecutors was born. </w:t>
      </w:r>
    </w:p>
    <w:p w14:paraId="78F3F7A7" w14:textId="558B7C0F"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Finally, as a result of this late development of the prosecution system and as </w:t>
      </w:r>
      <w:r w:rsidR="00FB598A">
        <w:rPr>
          <w:rFonts w:ascii="Calibri" w:eastAsia="Calibri" w:hAnsi="Calibri" w:cs="Times New Roman"/>
          <w:lang w:val="en-GB" w:eastAsia="zh-CN"/>
        </w:rPr>
        <w:t xml:space="preserve">a consequence </w:t>
      </w:r>
      <w:r w:rsidRPr="00E76739">
        <w:rPr>
          <w:rFonts w:ascii="Calibri" w:eastAsia="Calibri" w:hAnsi="Calibri" w:cs="Times New Roman"/>
          <w:lang w:val="en-GB" w:eastAsia="zh-CN"/>
        </w:rPr>
        <w:t>of the still present mixture of common law and statute law, in Ireland there currently exists a broad spectrum of public and private prosecutors that act independently of each other, and there is a large degree of separation between the investigation, prosecution and trial stages of a criminal process</w:t>
      </w:r>
      <w:r w:rsidR="00FB598A">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48"/>
      </w:r>
    </w:p>
    <w:p w14:paraId="4270BCED" w14:textId="454CD8D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A number of public authorities with statutory competence are empowered to independently initiate prosecutions and in practice many of them do so. However, no trial on indictment can proceed without the consent of the Director of Public Prosecutions. Private persons may in theory still initiate criminal prosecutions for summary offence trials</w:t>
      </w:r>
      <w:r w:rsidR="00FB598A">
        <w:rPr>
          <w:rFonts w:ascii="Calibri" w:eastAsia="Calibri" w:hAnsi="Calibri" w:cs="Times New Roman"/>
          <w:lang w:val="en-GB" w:eastAsia="zh-CN"/>
        </w:rPr>
        <w:t>;</w:t>
      </w:r>
      <w:r w:rsidR="00FB598A"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however, in practice </w:t>
      </w:r>
      <w:r w:rsidR="00FB598A">
        <w:rPr>
          <w:rFonts w:ascii="Calibri" w:eastAsia="Calibri" w:hAnsi="Calibri" w:cs="Times New Roman"/>
          <w:lang w:val="en-GB" w:eastAsia="zh-CN"/>
        </w:rPr>
        <w:t>this</w:t>
      </w:r>
      <w:r w:rsidR="00FB598A"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is unheard of in the modern era. </w:t>
      </w:r>
    </w:p>
    <w:p w14:paraId="7A0CA24A" w14:textId="6A556E3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Ireland there are summary and indictable offences, a distinction that corresponds to the continental </w:t>
      </w:r>
      <w:r w:rsidR="00FB598A">
        <w:rPr>
          <w:rFonts w:ascii="Calibri" w:eastAsia="Calibri" w:hAnsi="Calibri" w:cs="Times New Roman"/>
          <w:lang w:val="en-GB" w:eastAsia="zh-CN"/>
        </w:rPr>
        <w:t xml:space="preserve">distinction between </w:t>
      </w:r>
      <w:r w:rsidRPr="00E76739">
        <w:rPr>
          <w:rFonts w:ascii="Calibri" w:eastAsia="Calibri" w:hAnsi="Calibri" w:cs="Times New Roman"/>
          <w:lang w:val="en-GB" w:eastAsia="zh-CN"/>
        </w:rPr>
        <w:t xml:space="preserve">crimes and misdemeanours. Summary offences are dealt with by a judge sitting without a jury, and are trialled in the </w:t>
      </w:r>
      <w:r w:rsidR="00FB598A">
        <w:rPr>
          <w:rFonts w:ascii="Calibri" w:eastAsia="Calibri" w:hAnsi="Calibri" w:cs="Times New Roman"/>
          <w:lang w:val="en-GB" w:eastAsia="zh-CN"/>
        </w:rPr>
        <w:t>d</w:t>
      </w:r>
      <w:r w:rsidR="00FB598A" w:rsidRPr="00E76739">
        <w:rPr>
          <w:rFonts w:ascii="Calibri" w:eastAsia="Calibri" w:hAnsi="Calibri" w:cs="Times New Roman"/>
          <w:lang w:val="en-GB" w:eastAsia="zh-CN"/>
        </w:rPr>
        <w:t xml:space="preserve">istrict </w:t>
      </w:r>
      <w:r w:rsidR="00FB598A">
        <w:rPr>
          <w:rFonts w:ascii="Calibri" w:eastAsia="Calibri" w:hAnsi="Calibri" w:cs="Times New Roman"/>
          <w:lang w:val="en-GB" w:eastAsia="zh-CN"/>
        </w:rPr>
        <w:t>c</w:t>
      </w:r>
      <w:r w:rsidR="00FB598A" w:rsidRPr="00E76739">
        <w:rPr>
          <w:rFonts w:ascii="Calibri" w:eastAsia="Calibri" w:hAnsi="Calibri" w:cs="Times New Roman"/>
          <w:lang w:val="en-GB" w:eastAsia="zh-CN"/>
        </w:rPr>
        <w:t>ourts</w:t>
      </w:r>
      <w:r w:rsidRPr="00E76739">
        <w:rPr>
          <w:rFonts w:ascii="Calibri" w:eastAsia="Calibri" w:hAnsi="Calibri" w:cs="Times New Roman"/>
          <w:lang w:val="en-GB" w:eastAsia="zh-CN"/>
        </w:rPr>
        <w:t xml:space="preserve">. Indictable offences should be tried before a judge and jury – i.e. in the </w:t>
      </w:r>
      <w:r w:rsidR="00FB598A">
        <w:rPr>
          <w:rFonts w:ascii="Calibri" w:eastAsia="Calibri" w:hAnsi="Calibri" w:cs="Times New Roman"/>
          <w:lang w:val="en-GB" w:eastAsia="zh-CN"/>
        </w:rPr>
        <w:t>c</w:t>
      </w:r>
      <w:r w:rsidR="00FB598A" w:rsidRPr="00E76739">
        <w:rPr>
          <w:rFonts w:ascii="Calibri" w:eastAsia="Calibri" w:hAnsi="Calibri" w:cs="Times New Roman"/>
          <w:lang w:val="en-GB" w:eastAsia="zh-CN"/>
        </w:rPr>
        <w:t xml:space="preserve">ircuit </w:t>
      </w:r>
      <w:r w:rsidR="00FB598A">
        <w:rPr>
          <w:rFonts w:ascii="Calibri" w:eastAsia="Calibri" w:hAnsi="Calibri" w:cs="Times New Roman"/>
          <w:lang w:val="en-GB" w:eastAsia="zh-CN"/>
        </w:rPr>
        <w:t>c</w:t>
      </w:r>
      <w:r w:rsidR="00FB598A" w:rsidRPr="00E76739">
        <w:rPr>
          <w:rFonts w:ascii="Calibri" w:eastAsia="Calibri" w:hAnsi="Calibri" w:cs="Times New Roman"/>
          <w:lang w:val="en-GB" w:eastAsia="zh-CN"/>
        </w:rPr>
        <w:t>ourts</w:t>
      </w:r>
      <w:r w:rsidRPr="00E76739">
        <w:rPr>
          <w:rFonts w:ascii="Calibri" w:eastAsia="Calibri" w:hAnsi="Calibri" w:cs="Times New Roman"/>
          <w:lang w:val="en-GB" w:eastAsia="zh-CN"/>
        </w:rPr>
        <w:t xml:space="preserve">. Whether a crime is considered a summary offence or an indictable offence is a case-by-case decision, but the different prosecutors meet regularly to ensure that a consistent policy is maintained. The </w:t>
      </w:r>
      <w:r w:rsidR="00FB598A">
        <w:rPr>
          <w:rFonts w:ascii="Calibri" w:eastAsia="Calibri" w:hAnsi="Calibri" w:cs="Times New Roman"/>
          <w:lang w:val="en-GB" w:eastAsia="zh-CN"/>
        </w:rPr>
        <w:t>c</w:t>
      </w:r>
      <w:r w:rsidR="00FB598A" w:rsidRPr="00E76739">
        <w:rPr>
          <w:rFonts w:ascii="Calibri" w:eastAsia="Calibri" w:hAnsi="Calibri" w:cs="Times New Roman"/>
          <w:lang w:val="en-GB" w:eastAsia="zh-CN"/>
        </w:rPr>
        <w:t xml:space="preserve">ircuit </w:t>
      </w:r>
      <w:r w:rsidR="00FB598A">
        <w:rPr>
          <w:rFonts w:ascii="Calibri" w:eastAsia="Calibri" w:hAnsi="Calibri" w:cs="Times New Roman"/>
          <w:lang w:val="en-GB" w:eastAsia="zh-CN"/>
        </w:rPr>
        <w:t>c</w:t>
      </w:r>
      <w:r w:rsidR="00FB598A" w:rsidRPr="00E76739">
        <w:rPr>
          <w:rFonts w:ascii="Calibri" w:eastAsia="Calibri" w:hAnsi="Calibri" w:cs="Times New Roman"/>
          <w:lang w:val="en-GB" w:eastAsia="zh-CN"/>
        </w:rPr>
        <w:t xml:space="preserve">ourt </w:t>
      </w:r>
      <w:r w:rsidRPr="00E76739">
        <w:rPr>
          <w:rFonts w:ascii="Calibri" w:eastAsia="Calibri" w:hAnsi="Calibri" w:cs="Times New Roman"/>
          <w:lang w:val="en-GB" w:eastAsia="zh-CN"/>
        </w:rPr>
        <w:t xml:space="preserve">is usually the competent court in ML cases. Terrorist offences are tried and dealt with by a </w:t>
      </w:r>
      <w:r w:rsidR="00FB598A">
        <w:rPr>
          <w:rFonts w:ascii="Calibri" w:eastAsia="Calibri" w:hAnsi="Calibri" w:cs="Times New Roman"/>
          <w:lang w:val="en-GB" w:eastAsia="zh-CN"/>
        </w:rPr>
        <w:t>s</w:t>
      </w:r>
      <w:r w:rsidR="00FB598A" w:rsidRPr="00E76739">
        <w:rPr>
          <w:rFonts w:ascii="Calibri" w:eastAsia="Calibri" w:hAnsi="Calibri" w:cs="Times New Roman"/>
          <w:lang w:val="en-GB" w:eastAsia="zh-CN"/>
        </w:rPr>
        <w:t xml:space="preserve">pecial </w:t>
      </w:r>
      <w:r w:rsidR="00FB598A">
        <w:rPr>
          <w:rFonts w:ascii="Calibri" w:eastAsia="Calibri" w:hAnsi="Calibri" w:cs="Times New Roman"/>
          <w:lang w:val="en-GB" w:eastAsia="zh-CN"/>
        </w:rPr>
        <w:t>c</w:t>
      </w:r>
      <w:r w:rsidR="00FB598A" w:rsidRPr="00E76739">
        <w:rPr>
          <w:rFonts w:ascii="Calibri" w:eastAsia="Calibri" w:hAnsi="Calibri" w:cs="Times New Roman"/>
          <w:lang w:val="en-GB" w:eastAsia="zh-CN"/>
        </w:rPr>
        <w:t xml:space="preserve">riminal </w:t>
      </w:r>
      <w:r w:rsidR="00FB598A">
        <w:rPr>
          <w:rFonts w:ascii="Calibri" w:eastAsia="Calibri" w:hAnsi="Calibri" w:cs="Times New Roman"/>
          <w:lang w:val="en-GB" w:eastAsia="zh-CN"/>
        </w:rPr>
        <w:t>c</w:t>
      </w:r>
      <w:r w:rsidR="00FB598A" w:rsidRPr="00E76739">
        <w:rPr>
          <w:rFonts w:ascii="Calibri" w:eastAsia="Calibri" w:hAnsi="Calibri" w:cs="Times New Roman"/>
          <w:lang w:val="en-GB" w:eastAsia="zh-CN"/>
        </w:rPr>
        <w:t xml:space="preserve">ourt </w:t>
      </w:r>
      <w:r w:rsidRPr="00E76739">
        <w:rPr>
          <w:rFonts w:ascii="Calibri" w:eastAsia="Calibri" w:hAnsi="Calibri" w:cs="Times New Roman"/>
          <w:lang w:val="en-GB" w:eastAsia="zh-CN"/>
        </w:rPr>
        <w:t>before three judges (without a jury), which is exceptional.</w:t>
      </w:r>
    </w:p>
    <w:p w14:paraId="51BAFB0D" w14:textId="6A7216A9"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Regulatory offences under the AML Act 2010 are ‘hybrid offences’, in that these can be summary or indictable offences. The penalty for indictable offences under the AML Act 2010 is set at five years, which means that arrest warrants may be used. Supervisory authorities observing ML/TF breaches are under </w:t>
      </w:r>
      <w:r w:rsidR="00FB598A">
        <w:rPr>
          <w:rFonts w:ascii="Calibri" w:eastAsia="Calibri" w:hAnsi="Calibri" w:cs="Times New Roman"/>
          <w:lang w:val="en-GB" w:eastAsia="zh-CN"/>
        </w:rPr>
        <w:t>a</w:t>
      </w:r>
      <w:r w:rsidR="00FB598A"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duty to report to the DPP. The DPP decides whether it is a summary or indictable offence. If it is an indictable offence, DPP takes up the prosecution. If it is a summary offence</w:t>
      </w:r>
      <w:r w:rsidR="00FB598A">
        <w:rPr>
          <w:rFonts w:ascii="Calibri" w:eastAsia="Calibri" w:hAnsi="Calibri" w:cs="Times New Roman"/>
          <w:lang w:val="en-GB" w:eastAsia="zh-CN"/>
        </w:rPr>
        <w:t>,</w:t>
      </w:r>
      <w:r w:rsidRPr="00E76739">
        <w:rPr>
          <w:rFonts w:ascii="Calibri" w:eastAsia="Calibri" w:hAnsi="Calibri" w:cs="Times New Roman"/>
          <w:lang w:val="en-GB" w:eastAsia="zh-CN"/>
        </w:rPr>
        <w:t xml:space="preserve"> then administrative sanctions can be imposed. </w:t>
      </w:r>
    </w:p>
    <w:p w14:paraId="0D3DF978" w14:textId="35DC33B4" w:rsidR="00E76739" w:rsidRPr="00E76739" w:rsidRDefault="00E76739" w:rsidP="00E76739">
      <w:pPr>
        <w:spacing w:after="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On the matter of ML/TF </w:t>
      </w:r>
      <w:r w:rsidR="00FB598A" w:rsidRPr="00E76739">
        <w:rPr>
          <w:rFonts w:ascii="Calibri" w:eastAsia="Calibri" w:hAnsi="Calibri" w:cs="Times New Roman"/>
          <w:lang w:val="en-GB" w:eastAsia="zh-CN"/>
        </w:rPr>
        <w:t>speciali</w:t>
      </w:r>
      <w:r w:rsidR="00FB598A">
        <w:rPr>
          <w:rFonts w:ascii="Calibri" w:eastAsia="Calibri" w:hAnsi="Calibri" w:cs="Times New Roman"/>
          <w:lang w:val="en-GB" w:eastAsia="zh-CN"/>
        </w:rPr>
        <w:t>z</w:t>
      </w:r>
      <w:r w:rsidR="00FB598A" w:rsidRPr="00E76739">
        <w:rPr>
          <w:rFonts w:ascii="Calibri" w:eastAsia="Calibri" w:hAnsi="Calibri" w:cs="Times New Roman"/>
          <w:lang w:val="en-GB" w:eastAsia="zh-CN"/>
        </w:rPr>
        <w:t>ation</w:t>
      </w:r>
      <w:r w:rsidRPr="00E76739">
        <w:rPr>
          <w:rFonts w:ascii="Calibri" w:eastAsia="Calibri" w:hAnsi="Calibri" w:cs="Times New Roman"/>
          <w:lang w:val="en-GB" w:eastAsia="zh-CN"/>
        </w:rPr>
        <w:t>, this is generally done by learning by doing, as the historical developments of the prosecution system in Ireland do not seem to have allowed for the formation of specialist prosecutors or of prosecutors responsible for particular crimes.</w:t>
      </w:r>
    </w:p>
    <w:p w14:paraId="1D98189C" w14:textId="77777777" w:rsidR="00E76739" w:rsidRPr="00E76739" w:rsidRDefault="00E76739" w:rsidP="00E76739">
      <w:pPr>
        <w:spacing w:after="0" w:line="240" w:lineRule="auto"/>
        <w:jc w:val="both"/>
        <w:rPr>
          <w:rFonts w:ascii="Verdana" w:eastAsia="SimSun" w:hAnsi="Verdana" w:cs="Times New Roman"/>
          <w:b/>
          <w:lang w:val="en-GB" w:eastAsia="zh-CN"/>
        </w:rPr>
      </w:pPr>
    </w:p>
    <w:p w14:paraId="6EF4CBFF" w14:textId="77777777" w:rsidR="00E76739" w:rsidRPr="00E76739" w:rsidRDefault="00E76739" w:rsidP="00E76739">
      <w:pPr>
        <w:spacing w:after="0" w:line="240" w:lineRule="auto"/>
        <w:jc w:val="both"/>
        <w:rPr>
          <w:rFonts w:ascii="Verdana" w:eastAsia="SimSun" w:hAnsi="Verdana" w:cs="Times New Roman"/>
          <w:b/>
          <w:lang w:val="en-GB" w:eastAsia="zh-CN"/>
        </w:rPr>
      </w:pPr>
    </w:p>
    <w:p w14:paraId="4042DFBC" w14:textId="77777777" w:rsidR="00E76739" w:rsidRPr="00E76739" w:rsidRDefault="00BA07A1" w:rsidP="00E76739">
      <w:pPr>
        <w:spacing w:after="0" w:line="240" w:lineRule="auto"/>
        <w:jc w:val="both"/>
        <w:rPr>
          <w:rFonts w:ascii="Calibri" w:eastAsia="SimSun" w:hAnsi="Calibri" w:cs="Times New Roman"/>
          <w:b/>
          <w:bCs/>
          <w:lang w:val="en-GB" w:eastAsia="zh-CN"/>
        </w:rPr>
      </w:pPr>
      <w:bookmarkStart w:id="54" w:name="_Toc341109090"/>
      <w:bookmarkStart w:id="55" w:name="_Toc341266530"/>
      <w:bookmarkStart w:id="56" w:name="_Toc341269285"/>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.5.14 </w:t>
      </w:r>
      <w:r w:rsidR="00E76739" w:rsidRPr="00E76739">
        <w:rPr>
          <w:rFonts w:ascii="Calibri" w:eastAsia="SimSun" w:hAnsi="Calibri" w:cs="Times New Roman"/>
          <w:b/>
          <w:bCs/>
          <w:lang w:val="en-GB" w:eastAsia="zh-CN"/>
        </w:rPr>
        <w:tab/>
        <w:t>Italy</w:t>
      </w:r>
      <w:bookmarkEnd w:id="54"/>
      <w:bookmarkEnd w:id="55"/>
      <w:bookmarkEnd w:id="56"/>
    </w:p>
    <w:p w14:paraId="608E10ED"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452C47F0" w14:textId="6BC8D28E"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In Italy, the FIU analyses the STRs and then transmits them, together with </w:t>
      </w:r>
      <w:r w:rsidR="007B0630">
        <w:rPr>
          <w:rFonts w:ascii="Calibri" w:eastAsia="Times New Roman" w:hAnsi="Calibri" w:cs="Calibri"/>
          <w:lang w:val="en-GB" w:eastAsia="zh-CN"/>
        </w:rPr>
        <w:t>a</w:t>
      </w:r>
      <w:r w:rsidR="007B0630"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financial </w:t>
      </w:r>
      <w:r w:rsidR="007B0630" w:rsidRPr="00E76739">
        <w:rPr>
          <w:rFonts w:ascii="Calibri" w:eastAsia="Times New Roman" w:hAnsi="Calibri" w:cs="Calibri"/>
          <w:lang w:val="en-GB" w:eastAsia="zh-CN"/>
        </w:rPr>
        <w:t>analys</w:t>
      </w:r>
      <w:r w:rsidR="007B0630">
        <w:rPr>
          <w:rFonts w:ascii="Calibri" w:eastAsia="Times New Roman" w:hAnsi="Calibri" w:cs="Calibri"/>
          <w:lang w:val="en-GB" w:eastAsia="zh-CN"/>
        </w:rPr>
        <w:t>i</w:t>
      </w:r>
      <w:r w:rsidR="007B0630" w:rsidRPr="00E76739">
        <w:rPr>
          <w:rFonts w:ascii="Calibri" w:eastAsia="Times New Roman" w:hAnsi="Calibri" w:cs="Calibri"/>
          <w:lang w:val="en-GB" w:eastAsia="zh-CN"/>
        </w:rPr>
        <w:t>s</w:t>
      </w:r>
      <w:r w:rsidR="007B0630">
        <w:rPr>
          <w:rFonts w:ascii="Calibri" w:eastAsia="Times New Roman" w:hAnsi="Calibri" w:cs="Calibri"/>
          <w:lang w:val="en-GB" w:eastAsia="zh-CN"/>
        </w:rPr>
        <w:t>,</w:t>
      </w:r>
      <w:r w:rsidRPr="00E76739">
        <w:rPr>
          <w:rFonts w:ascii="Calibri" w:eastAsia="Times New Roman" w:hAnsi="Calibri" w:cs="Calibri"/>
          <w:lang w:val="en-GB" w:eastAsia="zh-CN"/>
        </w:rPr>
        <w:t xml:space="preserve"> to a special task force of the Financial Police</w:t>
      </w:r>
      <w:r w:rsidRPr="00E76739">
        <w:rPr>
          <w:rFonts w:ascii="Calibri" w:eastAsia="Times New Roman" w:hAnsi="Calibri" w:cs="Calibri"/>
          <w:vertAlign w:val="superscript"/>
          <w:lang w:val="en-GB" w:eastAsia="zh-CN"/>
        </w:rPr>
        <w:footnoteReference w:id="49"/>
      </w:r>
      <w:r w:rsidRPr="00E76739">
        <w:rPr>
          <w:rFonts w:ascii="Calibri" w:eastAsia="Times New Roman" w:hAnsi="Calibri" w:cs="Calibri"/>
          <w:lang w:val="en-GB" w:eastAsia="zh-CN"/>
        </w:rPr>
        <w:t xml:space="preserve"> and to the Bureau of Anti-mafia Investigation (DIA). The FIU does not make a choice as to </w:t>
      </w:r>
      <w:r w:rsidR="007B0630">
        <w:rPr>
          <w:rFonts w:ascii="Calibri" w:eastAsia="Times New Roman" w:hAnsi="Calibri" w:cs="Calibri"/>
          <w:lang w:val="en-GB" w:eastAsia="zh-CN"/>
        </w:rPr>
        <w:t xml:space="preserve">the </w:t>
      </w:r>
      <w:r w:rsidRPr="00E76739">
        <w:rPr>
          <w:rFonts w:ascii="Calibri" w:eastAsia="Times New Roman" w:hAnsi="Calibri" w:cs="Calibri"/>
          <w:lang w:val="en-GB" w:eastAsia="zh-CN"/>
        </w:rPr>
        <w:t xml:space="preserve">agency </w:t>
      </w:r>
      <w:r w:rsidR="007B0630">
        <w:rPr>
          <w:rFonts w:ascii="Calibri" w:eastAsia="Times New Roman" w:hAnsi="Calibri" w:cs="Calibri"/>
          <w:lang w:val="en-GB" w:eastAsia="zh-CN"/>
        </w:rPr>
        <w:t>to which</w:t>
      </w:r>
      <w:r w:rsidR="007B0630"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the STRs should be forwarded. The FIU can close an STR as irrelevant, pursuant to internal regulations and procedures. The Italian authorities argued that, in fact, all STRs received by FIU are transmitted to both </w:t>
      </w:r>
      <w:r w:rsidR="007B0630">
        <w:rPr>
          <w:rFonts w:ascii="Calibri" w:eastAsia="Times New Roman" w:hAnsi="Calibri" w:cs="Calibri"/>
          <w:lang w:val="en-GB" w:eastAsia="zh-CN"/>
        </w:rPr>
        <w:t xml:space="preserve">the </w:t>
      </w:r>
      <w:r w:rsidRPr="00E76739">
        <w:rPr>
          <w:rFonts w:ascii="Calibri" w:eastAsia="Times New Roman" w:hAnsi="Calibri" w:cs="Calibri"/>
          <w:lang w:val="en-GB" w:eastAsia="zh-CN"/>
        </w:rPr>
        <w:t xml:space="preserve">DIA and to </w:t>
      </w:r>
      <w:r w:rsidR="007B0630">
        <w:rPr>
          <w:rFonts w:ascii="Calibri" w:eastAsia="Times New Roman" w:hAnsi="Calibri" w:cs="Calibri"/>
          <w:lang w:val="en-GB" w:eastAsia="zh-CN"/>
        </w:rPr>
        <w:t xml:space="preserve">the </w:t>
      </w:r>
      <w:r w:rsidRPr="00E76739">
        <w:rPr>
          <w:rFonts w:ascii="Calibri" w:eastAsia="Times New Roman" w:hAnsi="Calibri" w:cs="Calibri"/>
          <w:lang w:val="en-GB" w:eastAsia="zh-CN"/>
        </w:rPr>
        <w:t xml:space="preserve">NSPV. Further, </w:t>
      </w:r>
      <w:r w:rsidR="007B0630">
        <w:rPr>
          <w:rFonts w:ascii="Calibri" w:eastAsia="Times New Roman" w:hAnsi="Calibri" w:cs="Calibri"/>
          <w:lang w:val="en-GB" w:eastAsia="zh-CN"/>
        </w:rPr>
        <w:t>when the STR concerns organized crime,</w:t>
      </w:r>
      <w:r w:rsidR="007B0630"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the National Anti-mafia Directorate is informed by these two agencies</w:t>
      </w:r>
      <w:r w:rsidR="007B0630">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50"/>
      </w:r>
    </w:p>
    <w:p w14:paraId="4ED094FC" w14:textId="77777777" w:rsidR="00E76739" w:rsidRPr="00E76739" w:rsidRDefault="00E76739" w:rsidP="00E76739">
      <w:pPr>
        <w:spacing w:after="0" w:line="240" w:lineRule="auto"/>
        <w:rPr>
          <w:rFonts w:ascii="Calibri" w:eastAsia="SimSun" w:hAnsi="Calibri" w:cs="Times New Roman"/>
          <w:b/>
          <w:lang w:val="en-GB" w:eastAsia="zh-CN"/>
        </w:rPr>
      </w:pPr>
      <w:r w:rsidRPr="00E76739">
        <w:rPr>
          <w:rFonts w:ascii="Calibri" w:eastAsia="SimSun" w:hAnsi="Calibri" w:cs="Times New Roman"/>
          <w:b/>
          <w:lang w:val="en-GB" w:eastAsia="zh-CN"/>
        </w:rPr>
        <w:br w:type="page"/>
      </w:r>
    </w:p>
    <w:p w14:paraId="32F0565F" w14:textId="124291CB" w:rsidR="00E76739" w:rsidRPr="00E76739" w:rsidRDefault="00E76739" w:rsidP="00E76739">
      <w:pPr>
        <w:spacing w:after="0" w:line="240" w:lineRule="auto"/>
        <w:jc w:val="center"/>
        <w:rPr>
          <w:rFonts w:ascii="Calibri" w:eastAsia="SimSun" w:hAnsi="Calibri" w:cs="Times New Roman"/>
          <w:b/>
          <w:lang w:val="en-GB" w:eastAsia="zh-CN"/>
        </w:rPr>
      </w:pPr>
      <w:bookmarkStart w:id="57" w:name="_Toc350517105"/>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AA2DA9" w:rsidRPr="00E76739">
        <w:rPr>
          <w:rFonts w:ascii="Calibri" w:eastAsia="SimSun" w:hAnsi="Calibri" w:cs="Times New Roman"/>
          <w:b/>
          <w:lang w:val="en-GB" w:eastAsia="zh-CN"/>
        </w:rPr>
        <w:t>1</w:t>
      </w:r>
      <w:r w:rsidR="00AA2DA9">
        <w:rPr>
          <w:rFonts w:ascii="Calibri" w:eastAsia="SimSun" w:hAnsi="Calibri" w:cs="Times New Roman"/>
          <w:b/>
          <w:lang w:val="en-GB" w:eastAsia="zh-CN"/>
        </w:rPr>
        <w:t>8</w:t>
      </w:r>
      <w:r w:rsidRPr="00E76739">
        <w:rPr>
          <w:rFonts w:ascii="Calibri" w:eastAsia="SimSun" w:hAnsi="Calibri" w:cs="Times New Roman"/>
          <w:b/>
          <w:lang w:val="en-GB" w:eastAsia="zh-CN"/>
        </w:rPr>
        <w:t>: AML/CTF Information flows in Italy</w:t>
      </w:r>
      <w:bookmarkEnd w:id="57"/>
    </w:p>
    <w:p w14:paraId="492E57A6"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11E54CAE" w14:textId="77777777"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noProof/>
          <w:lang w:val="en-US" w:eastAsia="en-US"/>
        </w:rPr>
        <w:drawing>
          <wp:inline distT="0" distB="0" distL="0" distR="0" wp14:anchorId="5784C34A" wp14:editId="1B44CE9E">
            <wp:extent cx="5913917" cy="3009793"/>
            <wp:effectExtent l="19050" t="0" r="0" b="0"/>
            <wp:docPr id="33" name="Picture 81" descr="ItalyFlow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yFlows.jpeg"/>
                    <pic:cNvPicPr/>
                  </pic:nvPicPr>
                  <pic:blipFill>
                    <a:blip r:embed="rId20" cstate="print"/>
                    <a:srcRect l="8621" t="10648" r="15514" b="39352"/>
                    <a:stretch>
                      <a:fillRect/>
                    </a:stretch>
                  </pic:blipFill>
                  <pic:spPr>
                    <a:xfrm>
                      <a:off x="0" y="0"/>
                      <a:ext cx="5919321" cy="3012543"/>
                    </a:xfrm>
                    <a:prstGeom prst="rect">
                      <a:avLst/>
                    </a:prstGeom>
                  </pic:spPr>
                </pic:pic>
              </a:graphicData>
            </a:graphic>
          </wp:inline>
        </w:drawing>
      </w:r>
    </w:p>
    <w:p w14:paraId="24BB6CBB" w14:textId="0974065A" w:rsidR="00E76739" w:rsidRPr="00E76739" w:rsidRDefault="00E76739" w:rsidP="00E76739">
      <w:pPr>
        <w:spacing w:after="24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F43279">
        <w:rPr>
          <w:rFonts w:ascii="Calibri" w:eastAsia="Calibri" w:hAnsi="Calibri" w:cs="Times New Roman"/>
          <w:i/>
          <w:sz w:val="20"/>
          <w:szCs w:val="20"/>
          <w:lang w:val="en-GB" w:eastAsia="zh-CN"/>
        </w:rPr>
        <w:t>both</w:t>
      </w:r>
      <w:r w:rsidR="00F43279"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F43279" w:rsidRPr="00E76739">
        <w:rPr>
          <w:rFonts w:ascii="Calibri" w:eastAsia="Times New Roman" w:hAnsi="Calibri" w:cs="Calibri"/>
          <w:i/>
          <w:sz w:val="20"/>
          <w:szCs w:val="20"/>
          <w:lang w:val="en-GB" w:eastAsia="zh-CN"/>
        </w:rPr>
        <w:t>speciali</w:t>
      </w:r>
      <w:r w:rsidR="00F43279">
        <w:rPr>
          <w:rFonts w:ascii="Calibri" w:eastAsia="Times New Roman" w:hAnsi="Calibri" w:cs="Calibri"/>
          <w:i/>
          <w:sz w:val="20"/>
          <w:szCs w:val="20"/>
          <w:lang w:val="en-GB" w:eastAsia="zh-CN"/>
        </w:rPr>
        <w:t>z</w:t>
      </w:r>
      <w:r w:rsidR="00F43279"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in dealing with ML/TF cases.</w:t>
      </w:r>
    </w:p>
    <w:p w14:paraId="4546FA48" w14:textId="7EA90B25"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Italy exhibits a wide array of </w:t>
      </w:r>
      <w:r w:rsidR="00741BE5" w:rsidRPr="00E76739">
        <w:rPr>
          <w:rFonts w:ascii="Calibri" w:eastAsia="Times New Roman" w:hAnsi="Calibri" w:cs="Calibri"/>
          <w:lang w:val="en-GB" w:eastAsia="zh-CN"/>
        </w:rPr>
        <w:t>speciali</w:t>
      </w:r>
      <w:r w:rsidR="00741BE5">
        <w:rPr>
          <w:rFonts w:ascii="Calibri" w:eastAsia="Times New Roman" w:hAnsi="Calibri" w:cs="Calibri"/>
          <w:lang w:val="en-GB" w:eastAsia="zh-CN"/>
        </w:rPr>
        <w:t>z</w:t>
      </w:r>
      <w:r w:rsidR="00741BE5"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units handling the prevention and repression of AML/CTF cases. Special attention is given here to tax fraud and to mafia-related money laundering and terrorist financing investigations. The Financial Police is a law enforcement body </w:t>
      </w:r>
      <w:r w:rsidR="00232C10" w:rsidRPr="00E76739">
        <w:rPr>
          <w:rFonts w:ascii="Calibri" w:eastAsia="Times New Roman" w:hAnsi="Calibri" w:cs="Calibri"/>
          <w:lang w:val="en-GB" w:eastAsia="zh-CN"/>
        </w:rPr>
        <w:t>speciali</w:t>
      </w:r>
      <w:r w:rsidR="00232C10">
        <w:rPr>
          <w:rFonts w:ascii="Calibri" w:eastAsia="Times New Roman" w:hAnsi="Calibri" w:cs="Calibri"/>
          <w:lang w:val="en-GB" w:eastAsia="zh-CN"/>
        </w:rPr>
        <w:t>z</w:t>
      </w:r>
      <w:r w:rsidR="00232C10"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in preventing and repressing economic and financial crimes. The Anti-Mafia Investigative Directorate is a specific branch of the Department of Public Security within the Ministry of Home Affairs, with members from the </w:t>
      </w:r>
      <w:r w:rsidR="00232C10">
        <w:rPr>
          <w:rFonts w:ascii="Calibri" w:eastAsia="Times New Roman" w:hAnsi="Calibri" w:cs="Calibri"/>
          <w:lang w:val="en-GB" w:eastAsia="zh-CN"/>
        </w:rPr>
        <w:t>s</w:t>
      </w:r>
      <w:r w:rsidR="00232C10" w:rsidRPr="00E76739">
        <w:rPr>
          <w:rFonts w:ascii="Calibri" w:eastAsia="Times New Roman" w:hAnsi="Calibri" w:cs="Calibri"/>
          <w:lang w:val="en-GB" w:eastAsia="zh-CN"/>
        </w:rPr>
        <w:t xml:space="preserve">tate </w:t>
      </w:r>
      <w:r w:rsidR="00232C10">
        <w:rPr>
          <w:rFonts w:ascii="Calibri" w:eastAsia="Times New Roman" w:hAnsi="Calibri" w:cs="Calibri"/>
          <w:lang w:val="en-GB" w:eastAsia="zh-CN"/>
        </w:rPr>
        <w:t>p</w:t>
      </w:r>
      <w:r w:rsidR="00232C10" w:rsidRPr="00E76739">
        <w:rPr>
          <w:rFonts w:ascii="Calibri" w:eastAsia="Times New Roman" w:hAnsi="Calibri" w:cs="Calibri"/>
          <w:lang w:val="en-GB" w:eastAsia="zh-CN"/>
        </w:rPr>
        <w:t>olice</w:t>
      </w:r>
      <w:r w:rsidRPr="00E76739">
        <w:rPr>
          <w:rFonts w:ascii="Calibri" w:eastAsia="Times New Roman" w:hAnsi="Calibri" w:cs="Calibri"/>
          <w:lang w:val="en-GB" w:eastAsia="zh-CN"/>
        </w:rPr>
        <w:t xml:space="preserve">, the </w:t>
      </w:r>
      <w:r w:rsidR="00232C10">
        <w:rPr>
          <w:rFonts w:ascii="Calibri" w:eastAsia="Times New Roman" w:hAnsi="Calibri" w:cs="Calibri"/>
          <w:lang w:val="en-GB" w:eastAsia="zh-CN"/>
        </w:rPr>
        <w:t>f</w:t>
      </w:r>
      <w:r w:rsidR="00232C10" w:rsidRPr="00E76739">
        <w:rPr>
          <w:rFonts w:ascii="Calibri" w:eastAsia="Times New Roman" w:hAnsi="Calibri" w:cs="Calibri"/>
          <w:lang w:val="en-GB" w:eastAsia="zh-CN"/>
        </w:rPr>
        <w:t xml:space="preserve">inancial </w:t>
      </w:r>
      <w:r w:rsidR="00232C10">
        <w:rPr>
          <w:rFonts w:ascii="Calibri" w:eastAsia="Times New Roman" w:hAnsi="Calibri" w:cs="Calibri"/>
          <w:lang w:val="en-GB" w:eastAsia="zh-CN"/>
        </w:rPr>
        <w:t>p</w:t>
      </w:r>
      <w:r w:rsidR="00232C10" w:rsidRPr="00E76739">
        <w:rPr>
          <w:rFonts w:ascii="Calibri" w:eastAsia="Times New Roman" w:hAnsi="Calibri" w:cs="Calibri"/>
          <w:lang w:val="en-GB" w:eastAsia="zh-CN"/>
        </w:rPr>
        <w:t xml:space="preserve">olice </w:t>
      </w:r>
      <w:r w:rsidRPr="00E76739">
        <w:rPr>
          <w:rFonts w:ascii="Calibri" w:eastAsia="Times New Roman" w:hAnsi="Calibri" w:cs="Calibri"/>
          <w:lang w:val="en-GB" w:eastAsia="zh-CN"/>
        </w:rPr>
        <w:t xml:space="preserve">and the </w:t>
      </w:r>
      <w:r w:rsidR="00232C10">
        <w:rPr>
          <w:rFonts w:ascii="Calibri" w:eastAsia="Times New Roman" w:hAnsi="Calibri" w:cs="Calibri"/>
          <w:lang w:val="en-GB" w:eastAsia="zh-CN"/>
        </w:rPr>
        <w:t>n</w:t>
      </w:r>
      <w:r w:rsidR="00232C10" w:rsidRPr="00E76739">
        <w:rPr>
          <w:rFonts w:ascii="Calibri" w:eastAsia="Times New Roman" w:hAnsi="Calibri" w:cs="Calibri"/>
          <w:lang w:val="en-GB" w:eastAsia="zh-CN"/>
        </w:rPr>
        <w:t xml:space="preserve">ational </w:t>
      </w:r>
      <w:r w:rsidR="00232C10">
        <w:rPr>
          <w:rFonts w:ascii="Calibri" w:eastAsia="Times New Roman" w:hAnsi="Calibri" w:cs="Calibri"/>
          <w:lang w:val="en-GB" w:eastAsia="zh-CN"/>
        </w:rPr>
        <w:t>p</w:t>
      </w:r>
      <w:r w:rsidR="00232C10" w:rsidRPr="00E76739">
        <w:rPr>
          <w:rFonts w:ascii="Calibri" w:eastAsia="Times New Roman" w:hAnsi="Calibri" w:cs="Calibri"/>
          <w:lang w:val="en-GB" w:eastAsia="zh-CN"/>
        </w:rPr>
        <w:t>olice</w:t>
      </w:r>
      <w:r w:rsidRPr="00E76739">
        <w:rPr>
          <w:rFonts w:ascii="Calibri" w:eastAsia="Times New Roman" w:hAnsi="Calibri" w:cs="Calibri"/>
          <w:lang w:val="en-GB" w:eastAsia="zh-CN"/>
        </w:rPr>
        <w:t xml:space="preserve">. The NSPV is a </w:t>
      </w:r>
      <w:r w:rsidR="00232C10" w:rsidRPr="00E76739">
        <w:rPr>
          <w:rFonts w:ascii="Calibri" w:eastAsia="Times New Roman" w:hAnsi="Calibri" w:cs="Calibri"/>
          <w:lang w:val="en-GB" w:eastAsia="zh-CN"/>
        </w:rPr>
        <w:t>speciali</w:t>
      </w:r>
      <w:r w:rsidR="00232C10">
        <w:rPr>
          <w:rFonts w:ascii="Calibri" w:eastAsia="Times New Roman" w:hAnsi="Calibri" w:cs="Calibri"/>
          <w:lang w:val="en-GB" w:eastAsia="zh-CN"/>
        </w:rPr>
        <w:t>z</w:t>
      </w:r>
      <w:r w:rsidR="00232C10"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body within the </w:t>
      </w:r>
      <w:r w:rsidR="00232C10">
        <w:rPr>
          <w:rFonts w:ascii="Calibri" w:eastAsia="Times New Roman" w:hAnsi="Calibri" w:cs="Calibri"/>
          <w:lang w:val="en-GB" w:eastAsia="zh-CN"/>
        </w:rPr>
        <w:t>f</w:t>
      </w:r>
      <w:r w:rsidR="00232C10" w:rsidRPr="00E76739">
        <w:rPr>
          <w:rFonts w:ascii="Calibri" w:eastAsia="Times New Roman" w:hAnsi="Calibri" w:cs="Calibri"/>
          <w:lang w:val="en-GB" w:eastAsia="zh-CN"/>
        </w:rPr>
        <w:t xml:space="preserve">inancial </w:t>
      </w:r>
      <w:r w:rsidR="00232C10">
        <w:rPr>
          <w:rFonts w:ascii="Calibri" w:eastAsia="Times New Roman" w:hAnsi="Calibri" w:cs="Calibri"/>
          <w:lang w:val="en-GB" w:eastAsia="zh-CN"/>
        </w:rPr>
        <w:t>p</w:t>
      </w:r>
      <w:r w:rsidR="00232C10" w:rsidRPr="00E76739">
        <w:rPr>
          <w:rFonts w:ascii="Calibri" w:eastAsia="Times New Roman" w:hAnsi="Calibri" w:cs="Calibri"/>
          <w:lang w:val="en-GB" w:eastAsia="zh-CN"/>
        </w:rPr>
        <w:t xml:space="preserve">olice </w:t>
      </w:r>
      <w:r w:rsidRPr="00E76739">
        <w:rPr>
          <w:rFonts w:ascii="Calibri" w:eastAsia="Times New Roman" w:hAnsi="Calibri" w:cs="Calibri"/>
          <w:lang w:val="en-GB" w:eastAsia="zh-CN"/>
        </w:rPr>
        <w:t>dedicated to the investigation of STRs, following initial analysis and dissemination by the FIU.</w:t>
      </w:r>
      <w:r w:rsidR="00232C10">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With respect to the prosecution service, there is a special prosecution body that handles </w:t>
      </w:r>
      <w:r w:rsidR="00232C10" w:rsidRPr="00E76739">
        <w:rPr>
          <w:rFonts w:ascii="Calibri" w:eastAsia="Times New Roman" w:hAnsi="Calibri" w:cs="Calibri"/>
          <w:lang w:val="en-GB" w:eastAsia="zh-CN"/>
        </w:rPr>
        <w:t>Mafia</w:t>
      </w:r>
      <w:r w:rsidR="00232C10">
        <w:rPr>
          <w:rFonts w:ascii="Calibri" w:eastAsia="Times New Roman" w:hAnsi="Calibri" w:cs="Calibri"/>
          <w:lang w:val="en-GB" w:eastAsia="zh-CN"/>
        </w:rPr>
        <w:t>-</w:t>
      </w:r>
      <w:r w:rsidRPr="00E76739">
        <w:rPr>
          <w:rFonts w:ascii="Calibri" w:eastAsia="Times New Roman" w:hAnsi="Calibri" w:cs="Calibri"/>
          <w:lang w:val="en-GB" w:eastAsia="zh-CN"/>
        </w:rPr>
        <w:t>related cases – the National Directorate Anti-Mafia (NDA). Cases investigated by the DIA are supervised by the NDA and cases investigated by the GdF are supervised by the N</w:t>
      </w:r>
      <w:r w:rsidR="00232C10">
        <w:rPr>
          <w:rFonts w:ascii="Calibri" w:eastAsia="Times New Roman" w:hAnsi="Calibri" w:cs="Calibri"/>
          <w:lang w:val="en-GB" w:eastAsia="zh-CN"/>
        </w:rPr>
        <w:t>n</w:t>
      </w:r>
      <w:r w:rsidRPr="00E76739">
        <w:rPr>
          <w:rFonts w:ascii="Calibri" w:eastAsia="Times New Roman" w:hAnsi="Calibri" w:cs="Calibri"/>
          <w:lang w:val="en-GB" w:eastAsia="zh-CN"/>
        </w:rPr>
        <w:t xml:space="preserve">ational prosecution service. </w:t>
      </w:r>
    </w:p>
    <w:p w14:paraId="4EFC6669" w14:textId="5EF14AA4"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caps/>
          <w:lang w:val="en-GB" w:eastAsia="zh-CN"/>
        </w:rPr>
        <w:t>A</w:t>
      </w:r>
      <w:r w:rsidRPr="00E76739">
        <w:rPr>
          <w:rFonts w:ascii="Calibri" w:eastAsia="Times New Roman" w:hAnsi="Calibri" w:cs="Calibri"/>
          <w:lang w:val="en-GB" w:eastAsia="zh-CN"/>
        </w:rPr>
        <w:t xml:space="preserve">ccording to </w:t>
      </w:r>
      <w:r w:rsidR="003E77D5">
        <w:rPr>
          <w:rFonts w:ascii="Calibri" w:eastAsia="Times New Roman" w:hAnsi="Calibri" w:cs="Calibri"/>
          <w:lang w:val="en-GB" w:eastAsia="zh-CN"/>
        </w:rPr>
        <w:t xml:space="preserve">the </w:t>
      </w:r>
      <w:r w:rsidRPr="00E76739">
        <w:rPr>
          <w:rFonts w:ascii="Calibri" w:eastAsia="Times New Roman" w:hAnsi="Calibri" w:cs="Calibri"/>
          <w:lang w:val="en-GB" w:eastAsia="zh-CN"/>
        </w:rPr>
        <w:t xml:space="preserve">Italian authorities, the PPO usually requests information from the FIU in relation to other criminal investigations where there is additional suspicion </w:t>
      </w:r>
      <w:r w:rsidR="003E77D5" w:rsidRPr="00E76739">
        <w:rPr>
          <w:rFonts w:ascii="Calibri" w:eastAsia="Times New Roman" w:hAnsi="Calibri" w:cs="Calibri"/>
          <w:lang w:val="en-GB" w:eastAsia="zh-CN"/>
        </w:rPr>
        <w:t>o</w:t>
      </w:r>
      <w:r w:rsidR="003E77D5">
        <w:rPr>
          <w:rFonts w:ascii="Calibri" w:eastAsia="Times New Roman" w:hAnsi="Calibri" w:cs="Calibri"/>
          <w:lang w:val="en-GB" w:eastAsia="zh-CN"/>
        </w:rPr>
        <w:t>f</w:t>
      </w:r>
      <w:r w:rsidR="003E77D5"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money laundering. In this sense, collaboration between the FIU and the PPO has increased as the flows of information between them have doubled in the past years</w:t>
      </w:r>
      <w:r w:rsidR="003E77D5">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51"/>
      </w:r>
      <w:r w:rsidRPr="00E76739">
        <w:rPr>
          <w:rFonts w:ascii="Calibri" w:eastAsia="Times New Roman" w:hAnsi="Calibri" w:cs="Calibri"/>
          <w:lang w:val="en-GB" w:eastAsia="zh-CN"/>
        </w:rPr>
        <w:t xml:space="preserve"> However, </w:t>
      </w:r>
      <w:r w:rsidR="003E77D5">
        <w:rPr>
          <w:rFonts w:ascii="Calibri" w:eastAsia="Times New Roman" w:hAnsi="Calibri" w:cs="Calibri"/>
          <w:lang w:val="en-GB" w:eastAsia="zh-CN"/>
        </w:rPr>
        <w:t xml:space="preserve">the </w:t>
      </w:r>
      <w:r w:rsidRPr="00E76739">
        <w:rPr>
          <w:rFonts w:ascii="Calibri" w:eastAsia="Times New Roman" w:hAnsi="Calibri" w:cs="Calibri"/>
          <w:lang w:val="en-GB" w:eastAsia="zh-CN"/>
        </w:rPr>
        <w:t>Italian authorities argued that the PPO does not provide feedback to the FIU on the relevance of the information it provided with respect to later stage prosecution. Furthermore, the FIU receives very little feedback from the LEAs on reports that have not been further investigated.</w:t>
      </w:r>
    </w:p>
    <w:p w14:paraId="43F1A435" w14:textId="77777777" w:rsidR="00E76739" w:rsidRPr="00E76739" w:rsidRDefault="00E76739" w:rsidP="00E76739">
      <w:pPr>
        <w:spacing w:after="0" w:line="240" w:lineRule="auto"/>
        <w:rPr>
          <w:rFonts w:ascii="Calibri" w:eastAsia="SimSun" w:hAnsi="Calibri" w:cs="Times New Roman"/>
          <w:b/>
          <w:bCs/>
          <w:lang w:val="en-GB" w:eastAsia="zh-CN"/>
        </w:rPr>
      </w:pPr>
      <w:bookmarkStart w:id="58" w:name="_Toc341109091"/>
      <w:bookmarkStart w:id="59" w:name="_Toc341266531"/>
      <w:bookmarkStart w:id="60" w:name="_Toc341269286"/>
      <w:r w:rsidRPr="00E76739">
        <w:rPr>
          <w:rFonts w:ascii="Calibri" w:eastAsia="SimSun" w:hAnsi="Calibri" w:cs="Times New Roman"/>
          <w:b/>
          <w:bCs/>
          <w:lang w:val="en-GB" w:eastAsia="zh-CN"/>
        </w:rPr>
        <w:br w:type="page"/>
      </w:r>
    </w:p>
    <w:p w14:paraId="28356BD5"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.5.15</w:t>
      </w:r>
      <w:r w:rsidR="00E76739" w:rsidRPr="00E76739">
        <w:rPr>
          <w:rFonts w:ascii="Calibri" w:eastAsia="SimSun" w:hAnsi="Calibri" w:cs="Times New Roman"/>
          <w:b/>
          <w:bCs/>
          <w:lang w:val="en-GB" w:eastAsia="zh-CN"/>
        </w:rPr>
        <w:tab/>
        <w:t xml:space="preserve"> Latvia</w:t>
      </w:r>
      <w:bookmarkEnd w:id="58"/>
      <w:bookmarkEnd w:id="59"/>
      <w:bookmarkEnd w:id="60"/>
    </w:p>
    <w:p w14:paraId="24769768"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749B4021" w14:textId="6ADEAEB4" w:rsidR="00E76739" w:rsidRPr="00E76739" w:rsidRDefault="00E76739" w:rsidP="00E76739">
      <w:pPr>
        <w:spacing w:after="0" w:line="240" w:lineRule="auto"/>
        <w:jc w:val="both"/>
        <w:rPr>
          <w:rFonts w:ascii="Calibri" w:eastAsia="Calibri" w:hAnsi="Calibri" w:cs="Calibri"/>
          <w:lang w:val="en-GB" w:eastAsia="zh-CN"/>
        </w:rPr>
      </w:pPr>
      <w:r w:rsidRPr="00E76739">
        <w:rPr>
          <w:rFonts w:ascii="Calibri" w:eastAsia="Calibri" w:hAnsi="Calibri" w:cs="Calibri"/>
          <w:lang w:val="en-GB" w:eastAsia="zh-CN"/>
        </w:rPr>
        <w:t>In Latvia, the FIU on its own initiative can disseminate information to pre-trial investigation authorities and courts when it has reasonable suspicion that a criminal offence including ML and TF has been committed. According to the Latvian representative, the FIU forwards the STR and the FIU analysis to the police and a copy to the PPO. The PPO will supervise the actual criminal investigation but not give further feedback. The police give feedback to the FIU when they initiate a case. Upon receiving this feedback</w:t>
      </w:r>
      <w:r w:rsidR="004A6762">
        <w:rPr>
          <w:rFonts w:ascii="Calibri" w:eastAsia="Calibri" w:hAnsi="Calibri" w:cs="Calibri"/>
          <w:lang w:val="en-GB" w:eastAsia="zh-CN"/>
        </w:rPr>
        <w:t>,</w:t>
      </w:r>
      <w:r w:rsidRPr="00E76739">
        <w:rPr>
          <w:rFonts w:ascii="Calibri" w:eastAsia="Calibri" w:hAnsi="Calibri" w:cs="Calibri"/>
          <w:lang w:val="en-GB" w:eastAsia="zh-CN"/>
        </w:rPr>
        <w:t xml:space="preserve"> the FIU informs the reporting entity </w:t>
      </w:r>
      <w:r w:rsidR="004A6762">
        <w:rPr>
          <w:rFonts w:ascii="Calibri" w:eastAsia="Calibri" w:hAnsi="Calibri" w:cs="Calibri"/>
          <w:lang w:val="en-GB" w:eastAsia="zh-CN"/>
        </w:rPr>
        <w:t xml:space="preserve">that </w:t>
      </w:r>
      <w:r w:rsidRPr="00E76739">
        <w:rPr>
          <w:rFonts w:ascii="Calibri" w:eastAsia="Calibri" w:hAnsi="Calibri" w:cs="Calibri"/>
          <w:lang w:val="en-GB" w:eastAsia="zh-CN"/>
        </w:rPr>
        <w:t xml:space="preserve">its report will be investigated by the police. According to the Latvian FIU, feedback is not useful </w:t>
      </w:r>
      <w:r w:rsidR="004A6762">
        <w:rPr>
          <w:rFonts w:ascii="Calibri" w:eastAsia="Calibri" w:hAnsi="Calibri" w:cs="Calibri"/>
          <w:lang w:val="en-GB" w:eastAsia="zh-CN"/>
        </w:rPr>
        <w:t>for</w:t>
      </w:r>
      <w:r w:rsidR="004A6762" w:rsidRPr="00E76739">
        <w:rPr>
          <w:rFonts w:ascii="Calibri" w:eastAsia="Calibri" w:hAnsi="Calibri" w:cs="Calibri"/>
          <w:lang w:val="en-GB" w:eastAsia="zh-CN"/>
        </w:rPr>
        <w:t xml:space="preserve"> </w:t>
      </w:r>
      <w:r w:rsidRPr="00E76739">
        <w:rPr>
          <w:rFonts w:ascii="Calibri" w:eastAsia="Calibri" w:hAnsi="Calibri" w:cs="Calibri"/>
          <w:lang w:val="en-GB" w:eastAsia="zh-CN"/>
        </w:rPr>
        <w:t>construct</w:t>
      </w:r>
      <w:r w:rsidR="004A6762">
        <w:rPr>
          <w:rFonts w:ascii="Calibri" w:eastAsia="Calibri" w:hAnsi="Calibri" w:cs="Calibri"/>
          <w:lang w:val="en-GB" w:eastAsia="zh-CN"/>
        </w:rPr>
        <w:t>ing</w:t>
      </w:r>
      <w:r w:rsidRPr="00E76739">
        <w:rPr>
          <w:rFonts w:ascii="Calibri" w:eastAsia="Calibri" w:hAnsi="Calibri" w:cs="Calibri"/>
          <w:lang w:val="en-GB" w:eastAsia="zh-CN"/>
        </w:rPr>
        <w:t xml:space="preserve"> typologies because the information needed for that is already available to this law enforcement FIU. The FIU needs the feedback for its own administration and to understand how useful the information provided </w:t>
      </w:r>
      <w:r w:rsidR="004A6762">
        <w:rPr>
          <w:rFonts w:ascii="Calibri" w:eastAsia="Calibri" w:hAnsi="Calibri" w:cs="Calibri"/>
          <w:lang w:val="en-GB" w:eastAsia="zh-CN"/>
        </w:rPr>
        <w:t xml:space="preserve">to </w:t>
      </w:r>
      <w:r w:rsidRPr="00E76739">
        <w:rPr>
          <w:rFonts w:ascii="Calibri" w:eastAsia="Calibri" w:hAnsi="Calibri" w:cs="Calibri"/>
          <w:lang w:val="en-GB" w:eastAsia="zh-CN"/>
        </w:rPr>
        <w:t xml:space="preserve">the police </w:t>
      </w:r>
      <w:r w:rsidR="004A6762">
        <w:rPr>
          <w:rFonts w:ascii="Calibri" w:eastAsia="Calibri" w:hAnsi="Calibri" w:cs="Calibri"/>
          <w:lang w:val="en-GB" w:eastAsia="zh-CN"/>
        </w:rPr>
        <w:t>by the FIU</w:t>
      </w:r>
      <w:r w:rsidR="004A6762" w:rsidRPr="00E76739">
        <w:rPr>
          <w:rFonts w:ascii="Calibri" w:eastAsia="Calibri" w:hAnsi="Calibri" w:cs="Calibri"/>
          <w:lang w:val="en-GB" w:eastAsia="zh-CN"/>
        </w:rPr>
        <w:t xml:space="preserve"> </w:t>
      </w:r>
      <w:r w:rsidRPr="00E76739">
        <w:rPr>
          <w:rFonts w:ascii="Calibri" w:eastAsia="Calibri" w:hAnsi="Calibri" w:cs="Calibri"/>
          <w:lang w:val="en-GB" w:eastAsia="zh-CN"/>
        </w:rPr>
        <w:t xml:space="preserve">actually was. </w:t>
      </w:r>
    </w:p>
    <w:p w14:paraId="02F8198B" w14:textId="77777777" w:rsidR="00E76739" w:rsidRPr="00E76739" w:rsidRDefault="00E76739" w:rsidP="00E76739">
      <w:pPr>
        <w:spacing w:after="0" w:line="240" w:lineRule="auto"/>
        <w:jc w:val="both"/>
        <w:rPr>
          <w:rFonts w:ascii="Calibri" w:eastAsia="SimSun" w:hAnsi="Calibri" w:cs="Times New Roman"/>
          <w:b/>
          <w:lang w:val="en-GB" w:eastAsia="zh-CN"/>
        </w:rPr>
      </w:pPr>
    </w:p>
    <w:p w14:paraId="02F89E2D" w14:textId="7BE12DDE" w:rsidR="00E76739" w:rsidRPr="00E76739" w:rsidRDefault="00E76739" w:rsidP="00E76739">
      <w:pPr>
        <w:spacing w:after="0" w:line="240" w:lineRule="auto"/>
        <w:jc w:val="center"/>
        <w:rPr>
          <w:rFonts w:ascii="Calibri" w:eastAsia="SimSun" w:hAnsi="Calibri" w:cs="Times New Roman"/>
          <w:b/>
          <w:lang w:val="en-GB" w:eastAsia="zh-CN"/>
        </w:rPr>
      </w:pPr>
      <w:bookmarkStart w:id="61" w:name="_Toc350517106"/>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AA2DA9" w:rsidRPr="00E76739">
        <w:rPr>
          <w:rFonts w:ascii="Calibri" w:eastAsia="SimSun" w:hAnsi="Calibri" w:cs="Times New Roman"/>
          <w:b/>
          <w:lang w:val="en-GB" w:eastAsia="zh-CN"/>
        </w:rPr>
        <w:t>1</w:t>
      </w:r>
      <w:r w:rsidR="00AA2DA9">
        <w:rPr>
          <w:rFonts w:ascii="Calibri" w:eastAsia="SimSun" w:hAnsi="Calibri" w:cs="Times New Roman"/>
          <w:b/>
          <w:lang w:val="en-GB" w:eastAsia="zh-CN"/>
        </w:rPr>
        <w:t>9</w:t>
      </w:r>
      <w:r w:rsidRPr="00E76739">
        <w:rPr>
          <w:rFonts w:ascii="Calibri" w:eastAsia="SimSun" w:hAnsi="Calibri" w:cs="Times New Roman"/>
          <w:b/>
          <w:lang w:val="en-GB" w:eastAsia="zh-CN"/>
        </w:rPr>
        <w:t>:</w:t>
      </w:r>
      <w:r w:rsidR="002F731E">
        <w:rPr>
          <w:rFonts w:ascii="Calibri" w:eastAsia="SimSun" w:hAnsi="Calibri" w:cs="Times New Roman"/>
          <w:b/>
          <w:lang w:val="en-GB" w:eastAsia="zh-CN"/>
        </w:rPr>
        <w:t xml:space="preserve"> </w:t>
      </w:r>
      <w:r w:rsidRPr="00E76739">
        <w:rPr>
          <w:rFonts w:ascii="Calibri" w:eastAsia="SimSun" w:hAnsi="Calibri" w:cs="Times New Roman"/>
          <w:b/>
          <w:lang w:val="en-GB" w:eastAsia="zh-CN"/>
        </w:rPr>
        <w:t>AML/CTF Information flows in Latvia</w:t>
      </w:r>
      <w:bookmarkEnd w:id="61"/>
    </w:p>
    <w:p w14:paraId="16D8CC11" w14:textId="77777777" w:rsidR="00E76739" w:rsidRPr="00E76739" w:rsidRDefault="00E76739" w:rsidP="00E76739">
      <w:pPr>
        <w:spacing w:after="0" w:line="240" w:lineRule="auto"/>
        <w:jc w:val="both"/>
        <w:rPr>
          <w:rFonts w:ascii="Calibri" w:eastAsia="SimSun" w:hAnsi="Calibri" w:cs="Times New Roman"/>
          <w:b/>
          <w:lang w:val="en-GB" w:eastAsia="zh-CN"/>
        </w:rPr>
      </w:pPr>
    </w:p>
    <w:p w14:paraId="161956A1" w14:textId="77777777" w:rsidR="00E76739" w:rsidRPr="00E76739" w:rsidRDefault="00C9097D" w:rsidP="00E76739">
      <w:pPr>
        <w:spacing w:after="0" w:line="240" w:lineRule="auto"/>
        <w:jc w:val="both"/>
        <w:rPr>
          <w:rFonts w:ascii="Calibri" w:eastAsia="Times New Roman" w:hAnsi="Calibri" w:cs="Calibri"/>
          <w:lang w:val="en-GB" w:eastAsia="zh-CN"/>
        </w:rPr>
      </w:pPr>
      <w:commentRangeStart w:id="62"/>
      <w:r>
        <w:rPr>
          <w:rFonts w:ascii="Verdana" w:eastAsia="SimSun" w:hAnsi="Verdana" w:cs="Times New Roman"/>
          <w:noProof/>
          <w:lang w:val="en-US" w:eastAsia="en-US"/>
        </w:rPr>
        <mc:AlternateContent>
          <mc:Choice Requires="wpc">
            <w:drawing>
              <wp:inline distT="0" distB="0" distL="0" distR="0" wp14:anchorId="39B749FB" wp14:editId="479E0012">
                <wp:extent cx="5279390" cy="2120900"/>
                <wp:effectExtent l="0" t="0" r="654685" b="0"/>
                <wp:docPr id="311" name="Papier 1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 name="Afgeronde rechthoek 126"/>
                        <wps:cNvSpPr>
                          <a:spLocks noChangeArrowheads="1"/>
                        </wps:cNvSpPr>
                        <wps:spPr bwMode="auto">
                          <a:xfrm>
                            <a:off x="47601" y="35900"/>
                            <a:ext cx="981117" cy="533400"/>
                          </a:xfrm>
                          <a:prstGeom prst="roundRect">
                            <a:avLst>
                              <a:gd name="adj" fmla="val 16667"/>
                            </a:avLst>
                          </a:prstGeom>
                          <a:solidFill>
                            <a:srgbClr val="4F81BD"/>
                          </a:solidFill>
                          <a:ln w="25400">
                            <a:solidFill>
                              <a:srgbClr val="243F60"/>
                            </a:solidFill>
                            <a:round/>
                            <a:headEnd/>
                            <a:tailEnd/>
                          </a:ln>
                        </wps:spPr>
                        <wps:txbx>
                          <w:txbxContent>
                            <w:p w14:paraId="67A38534" w14:textId="5AB9D231" w:rsidR="00972546" w:rsidRDefault="00972546" w:rsidP="00E76739">
                              <w:pPr>
                                <w:jc w:val="center"/>
                                <w:rPr>
                                  <w:color w:val="FFFFFF"/>
                                </w:rPr>
                              </w:pPr>
                              <w:r>
                                <w:rPr>
                                  <w:color w:val="FFFFFF"/>
                                </w:rPr>
                                <w:t>Supervised Entities</w:t>
                              </w:r>
                            </w:p>
                          </w:txbxContent>
                        </wps:txbx>
                        <wps:bodyPr rot="0" vert="horz" wrap="square" lIns="91440" tIns="45720" rIns="91440" bIns="45720" anchor="ctr" anchorCtr="0" upright="1">
                          <a:noAutofit/>
                        </wps:bodyPr>
                      </wps:wsp>
                      <wps:wsp>
                        <wps:cNvPr id="256" name="Afgeronde rechthoek 127"/>
                        <wps:cNvSpPr>
                          <a:spLocks noChangeArrowheads="1"/>
                        </wps:cNvSpPr>
                        <wps:spPr bwMode="auto">
                          <a:xfrm>
                            <a:off x="47601" y="701700"/>
                            <a:ext cx="981117" cy="533400"/>
                          </a:xfrm>
                          <a:prstGeom prst="roundRect">
                            <a:avLst>
                              <a:gd name="adj" fmla="val 16667"/>
                            </a:avLst>
                          </a:prstGeom>
                          <a:solidFill>
                            <a:srgbClr val="4F81BD"/>
                          </a:solidFill>
                          <a:ln w="25400">
                            <a:solidFill>
                              <a:srgbClr val="243F60"/>
                            </a:solidFill>
                            <a:round/>
                            <a:headEnd/>
                            <a:tailEnd/>
                          </a:ln>
                        </wps:spPr>
                        <wps:txbx>
                          <w:txbxContent>
                            <w:p w14:paraId="5A5D6183"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wps:txbx>
                        <wps:bodyPr rot="0" vert="horz" wrap="square" lIns="91440" tIns="45720" rIns="91440" bIns="45720" anchor="ctr" anchorCtr="0" upright="1">
                          <a:noAutofit/>
                        </wps:bodyPr>
                      </wps:wsp>
                      <wps:wsp>
                        <wps:cNvPr id="257" name="Afgeronde rechthoek 128"/>
                        <wps:cNvSpPr>
                          <a:spLocks noChangeArrowheads="1"/>
                        </wps:cNvSpPr>
                        <wps:spPr bwMode="auto">
                          <a:xfrm>
                            <a:off x="1257321" y="311200"/>
                            <a:ext cx="971517" cy="533400"/>
                          </a:xfrm>
                          <a:prstGeom prst="roundRect">
                            <a:avLst>
                              <a:gd name="adj" fmla="val 16667"/>
                            </a:avLst>
                          </a:prstGeom>
                          <a:solidFill>
                            <a:srgbClr val="4F81BD"/>
                          </a:solidFill>
                          <a:ln w="25400">
                            <a:solidFill>
                              <a:srgbClr val="243F60"/>
                            </a:solidFill>
                            <a:round/>
                            <a:headEnd/>
                            <a:tailEnd/>
                          </a:ln>
                        </wps:spPr>
                        <wps:txbx>
                          <w:txbxContent>
                            <w:p w14:paraId="0C6796A2"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wps:txbx>
                        <wps:bodyPr rot="0" vert="horz" wrap="square" lIns="91440" tIns="45720" rIns="91440" bIns="45720" anchor="ctr" anchorCtr="0" upright="1">
                          <a:noAutofit/>
                        </wps:bodyPr>
                      </wps:wsp>
                      <wps:wsp>
                        <wps:cNvPr id="258" name="Afgeronde rechthoek 129"/>
                        <wps:cNvSpPr>
                          <a:spLocks noChangeArrowheads="1"/>
                        </wps:cNvSpPr>
                        <wps:spPr bwMode="auto">
                          <a:xfrm>
                            <a:off x="2495543" y="311200"/>
                            <a:ext cx="971617" cy="533400"/>
                          </a:xfrm>
                          <a:prstGeom prst="roundRect">
                            <a:avLst>
                              <a:gd name="adj" fmla="val 16667"/>
                            </a:avLst>
                          </a:prstGeom>
                          <a:solidFill>
                            <a:srgbClr val="4F81BD"/>
                          </a:solidFill>
                          <a:ln w="25400">
                            <a:solidFill>
                              <a:srgbClr val="243F60"/>
                            </a:solidFill>
                            <a:round/>
                            <a:headEnd/>
                            <a:tailEnd/>
                          </a:ln>
                        </wps:spPr>
                        <wps:txbx>
                          <w:txbxContent>
                            <w:p w14:paraId="18BF1D46"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LEAs</w:t>
                              </w:r>
                            </w:p>
                          </w:txbxContent>
                        </wps:txbx>
                        <wps:bodyPr rot="0" vert="horz" wrap="square" lIns="91440" tIns="45720" rIns="91440" bIns="45720" anchor="ctr" anchorCtr="0" upright="1">
                          <a:noAutofit/>
                        </wps:bodyPr>
                      </wps:wsp>
                      <wps:wsp>
                        <wps:cNvPr id="259" name="Afgeronde rechthoek 130"/>
                        <wps:cNvSpPr>
                          <a:spLocks noChangeArrowheads="1"/>
                        </wps:cNvSpPr>
                        <wps:spPr bwMode="auto">
                          <a:xfrm>
                            <a:off x="3751864" y="311200"/>
                            <a:ext cx="970917" cy="533400"/>
                          </a:xfrm>
                          <a:prstGeom prst="roundRect">
                            <a:avLst>
                              <a:gd name="adj" fmla="val 16667"/>
                            </a:avLst>
                          </a:prstGeom>
                          <a:solidFill>
                            <a:srgbClr val="4F81BD"/>
                          </a:solidFill>
                          <a:ln w="25400">
                            <a:solidFill>
                              <a:srgbClr val="243F60"/>
                            </a:solidFill>
                            <a:round/>
                            <a:headEnd/>
                            <a:tailEnd/>
                          </a:ln>
                        </wps:spPr>
                        <wps:txbx>
                          <w:txbxContent>
                            <w:p w14:paraId="0D1BCBFE"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wps:txbx>
                        <wps:bodyPr rot="0" vert="horz" wrap="square" lIns="91440" tIns="45720" rIns="91440" bIns="45720" anchor="ctr" anchorCtr="0" upright="1">
                          <a:noAutofit/>
                        </wps:bodyPr>
                      </wps:wsp>
                      <wps:wsp>
                        <wps:cNvPr id="260" name="Afgeronde rechthoek 131"/>
                        <wps:cNvSpPr>
                          <a:spLocks noChangeArrowheads="1"/>
                        </wps:cNvSpPr>
                        <wps:spPr bwMode="auto">
                          <a:xfrm>
                            <a:off x="4944784" y="311200"/>
                            <a:ext cx="970517" cy="533400"/>
                          </a:xfrm>
                          <a:prstGeom prst="roundRect">
                            <a:avLst>
                              <a:gd name="adj" fmla="val 16667"/>
                            </a:avLst>
                          </a:prstGeom>
                          <a:solidFill>
                            <a:srgbClr val="4F81BD"/>
                          </a:solidFill>
                          <a:ln w="25400">
                            <a:solidFill>
                              <a:srgbClr val="243F60"/>
                            </a:solidFill>
                            <a:round/>
                            <a:headEnd/>
                            <a:tailEnd/>
                          </a:ln>
                        </wps:spPr>
                        <wps:txbx>
                          <w:txbxContent>
                            <w:p w14:paraId="49635B40"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wps:txbx>
                        <wps:bodyPr rot="0" vert="horz" wrap="square" lIns="91440" tIns="45720" rIns="91440" bIns="45720" anchor="ctr" anchorCtr="0" upright="1">
                          <a:noAutofit/>
                        </wps:bodyPr>
                      </wps:wsp>
                      <wps:wsp>
                        <wps:cNvPr id="261" name="Gebogen verbindingslijn 132"/>
                        <wps:cNvCnPr>
                          <a:cxnSpLocks noChangeShapeType="1"/>
                        </wps:cNvCnPr>
                        <wps:spPr bwMode="auto">
                          <a:xfrm rot="16200000" flipH="1">
                            <a:off x="859515" y="247894"/>
                            <a:ext cx="76200" cy="719012"/>
                          </a:xfrm>
                          <a:prstGeom prst="bentConnector2">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262" name="Gebogen verbindingslijn 133"/>
                        <wps:cNvCnPr>
                          <a:cxnSpLocks noChangeShapeType="1"/>
                        </wps:cNvCnPr>
                        <wps:spPr bwMode="auto">
                          <a:xfrm rot="5400000" flipH="1" flipV="1">
                            <a:off x="869515" y="313894"/>
                            <a:ext cx="56200" cy="718912"/>
                          </a:xfrm>
                          <a:prstGeom prst="bentConnector2">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263" name="Rechte verbindingslijn met pijl 135"/>
                        <wps:cNvCnPr>
                          <a:cxnSpLocks noChangeShapeType="1"/>
                        </wps:cNvCnPr>
                        <wps:spPr bwMode="auto">
                          <a:xfrm>
                            <a:off x="2228838" y="577900"/>
                            <a:ext cx="26670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64" name="Rechte verbindingslijn 136"/>
                        <wps:cNvCnPr/>
                        <wps:spPr bwMode="auto">
                          <a:xfrm>
                            <a:off x="4239672" y="872200"/>
                            <a:ext cx="0" cy="286700"/>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wps:wsp>
                        <wps:cNvPr id="265" name="Gebogen verbindingslijn 137"/>
                        <wps:cNvCnPr>
                          <a:cxnSpLocks noChangeShapeType="1"/>
                        </wps:cNvCnPr>
                        <wps:spPr bwMode="auto">
                          <a:xfrm rot="10800000">
                            <a:off x="2981351" y="844600"/>
                            <a:ext cx="1258121" cy="314300"/>
                          </a:xfrm>
                          <a:prstGeom prst="bentConnector2">
                            <a:avLst/>
                          </a:prstGeom>
                          <a:noFill/>
                          <a:ln w="9525">
                            <a:solidFill>
                              <a:srgbClr val="4579B8"/>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67" name="Rechte verbindingslijn met pijl 138"/>
                        <wps:cNvCnPr>
                          <a:cxnSpLocks noChangeShapeType="1"/>
                        </wps:cNvCnPr>
                        <wps:spPr bwMode="auto">
                          <a:xfrm>
                            <a:off x="3467159" y="577900"/>
                            <a:ext cx="28470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68" name="Rechte verbindingslijn met pijl 139"/>
                        <wps:cNvCnPr>
                          <a:cxnSpLocks noChangeShapeType="1"/>
                        </wps:cNvCnPr>
                        <wps:spPr bwMode="auto">
                          <a:xfrm>
                            <a:off x="4722781" y="577900"/>
                            <a:ext cx="222004"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69" name="Tekstvak 29"/>
                        <wps:cNvSpPr txBox="1">
                          <a:spLocks noChangeArrowheads="1"/>
                        </wps:cNvSpPr>
                        <wps:spPr bwMode="auto">
                          <a:xfrm>
                            <a:off x="2385441" y="1158800"/>
                            <a:ext cx="2867449" cy="96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14B9AF" w14:textId="77777777" w:rsidR="00972546" w:rsidRPr="000E233C" w:rsidRDefault="00972546" w:rsidP="00E76739">
                              <w:pPr>
                                <w:pStyle w:val="NormalWeb"/>
                                <w:spacing w:after="0" w:line="240" w:lineRule="auto"/>
                                <w:rPr>
                                  <w:rFonts w:ascii="Calibri" w:hAnsi="Calibri" w:cs="Calibri"/>
                                  <w:sz w:val="18"/>
                                  <w:szCs w:val="18"/>
                                  <w:lang w:val="en-US"/>
                                </w:rPr>
                              </w:pPr>
                              <w:r w:rsidRPr="000E233C">
                                <w:rPr>
                                  <w:rFonts w:ascii="Calibri" w:hAnsi="Calibri" w:cs="Calibri"/>
                                  <w:sz w:val="18"/>
                                  <w:szCs w:val="18"/>
                                  <w:lang w:val="en-US"/>
                                </w:rPr>
                                <w:t>PPO supervises the LEAs that receive reports:</w:t>
                              </w:r>
                            </w:p>
                            <w:p w14:paraId="04243130"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Economic Crime Police</w:t>
                              </w:r>
                            </w:p>
                            <w:p w14:paraId="7B7FC444"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Organised Crime Police</w:t>
                              </w:r>
                            </w:p>
                            <w:p w14:paraId="6F996FFE"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Financial Crime Police</w:t>
                              </w:r>
                            </w:p>
                            <w:p w14:paraId="6C6A56E3"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Security Police</w:t>
                              </w:r>
                            </w:p>
                            <w:p w14:paraId="469426CB"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Anti-Corruption Bureau</w:t>
                              </w:r>
                            </w:p>
                          </w:txbxContent>
                        </wps:txbx>
                        <wps:bodyPr rot="0" vert="horz" wrap="square" lIns="91440" tIns="45720" rIns="91440" bIns="45720" anchor="t" anchorCtr="0" upright="1">
                          <a:noAutofit/>
                        </wps:bodyPr>
                      </wps:wsp>
                      <wps:wsp>
                        <wps:cNvPr id="270" name="Rechte verbindingslijn 146"/>
                        <wps:cNvCnPr/>
                        <wps:spPr bwMode="auto">
                          <a:xfrm flipH="1" flipV="1">
                            <a:off x="1742630" y="79400"/>
                            <a:ext cx="400" cy="2318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71" name="Gebogen verbindingslijn 217"/>
                        <wps:cNvCnPr>
                          <a:cxnSpLocks noChangeShapeType="1"/>
                        </wps:cNvCnPr>
                        <wps:spPr bwMode="auto">
                          <a:xfrm>
                            <a:off x="1742730" y="79400"/>
                            <a:ext cx="2494643" cy="231800"/>
                          </a:xfrm>
                          <a:prstGeom prst="bentConnector2">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272" name="Tekstvak 572"/>
                        <wps:cNvSpPr txBox="1">
                          <a:spLocks noChangeArrowheads="1"/>
                        </wps:cNvSpPr>
                        <wps:spPr bwMode="auto">
                          <a:xfrm>
                            <a:off x="3686563" y="19800"/>
                            <a:ext cx="643911" cy="29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BB24AF" w14:textId="77777777" w:rsidR="00972546" w:rsidRDefault="00972546" w:rsidP="00E76739">
                              <w:pPr>
                                <w:pStyle w:val="NormalWeb"/>
                                <w:spacing w:after="0"/>
                                <w:rPr>
                                  <w:rFonts w:ascii="Calibri" w:hAnsi="Calibri" w:cs="Calibri"/>
                                </w:rPr>
                              </w:pPr>
                              <w:r>
                                <w:rPr>
                                  <w:rFonts w:ascii="Calibri" w:hAnsi="Calibri" w:cs="Calibri"/>
                                  <w:sz w:val="18"/>
                                  <w:szCs w:val="18"/>
                                </w:rPr>
                                <w:t>a copy</w:t>
                              </w:r>
                            </w:p>
                          </w:txbxContent>
                        </wps:txbx>
                        <wps:bodyPr rot="0" vert="horz" wrap="square" lIns="91440" tIns="45720" rIns="91440" bIns="45720" anchor="t" anchorCtr="0" upright="1">
                          <a:noAutofit/>
                        </wps:bodyPr>
                      </wps:wsp>
                      <wps:wsp>
                        <wps:cNvPr id="273" name="Rechte verbindingslijn 152"/>
                        <wps:cNvCnPr/>
                        <wps:spPr bwMode="auto">
                          <a:xfrm>
                            <a:off x="2819648" y="880900"/>
                            <a:ext cx="0" cy="28640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74" name="Gebogen verbindingslijn 153"/>
                        <wps:cNvCnPr>
                          <a:cxnSpLocks noChangeShapeType="1"/>
                        </wps:cNvCnPr>
                        <wps:spPr bwMode="auto">
                          <a:xfrm rot="10800000">
                            <a:off x="1743030" y="844600"/>
                            <a:ext cx="1075918" cy="321900"/>
                          </a:xfrm>
                          <a:prstGeom prst="bentConnector2">
                            <a:avLst/>
                          </a:prstGeom>
                          <a:noFill/>
                          <a:ln w="9525">
                            <a:solidFill>
                              <a:srgbClr val="FF0000"/>
                            </a:solidFill>
                            <a:prstDash val="dash"/>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Papier 145" o:spid="_x0000_s1092" style="width:415.7pt;height:167pt;mso-position-horizontal-relative:char;mso-position-vertical-relative:line" coordsize="5279390,212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7uEnQHAABzPAAADgAAAGRycy9lMm9Eb2MueG1s7FvbkuI2EH1PVf7B5XcWS5Zv1DJbM8ySpGqT&#10;bGU3eRe2AO8YyZE9A5NU/j0tyRhzMcwlsJsqzwNjYyzrcrp1+nT77bvVIrMemCxSwYc2euPYFuOx&#10;SFI+G9q/fx73QtsqSsoTmgnOhvYjK+x3V99/93aZDxgWc5ElTFrQCC8Gy3xoz8syH/T7RTxnC1q8&#10;ETnjcHEq5IKWcCpn/UTSJbS+yPrYcfz+UsgklyJmRQHf3pqL9pVufzplcfnrdFqw0sqGNvSt1J9S&#10;f07UZ//qLR3MJM3naVx1g76gFwuacnho3dQtLal1L9O9phZpLEUhpuWbWCz6YjpNY6bHAKNBzs5o&#10;RpQ/0EIPJobZWXcQjv7Ddicz1W8uxmmWwWz0ofWB+k79X8L6MPhymcPqFHm9TsXrnv9pTnOmh1UM&#10;4l8ePkorTYa279oWpwsAyfV0xqTgCbMki+flXLA7C2FfLZbqCdzyKf8oVbeL/IOI7wqLi9Gc8hm7&#10;llIs54wm0EOkfg/DadygTgq41ZosfxYJPInel0Kv22oqF6pBWBFrNbRJ4DvIth6HtutFTgUTtiqt&#10;GC5GIUIosK0YLnuuS8z1Ph2sG8llUf7AxMJSB0Nbinue/AZQ1E+iDx+KUkMlqYZLky+2NV1kALwH&#10;mlnI9/1A950Oqh9D2+s29ahFliZqvfSJnE1GmbTgVuj3OEQ3t9XNRfNnGbeWQxt7qrfH28DEHft6&#10;yPDYrTb0QGBS6UBN8Xue6OOSppk5ht9nvJpzNc1mucrVZKUXeLOCE5E8wipIYewR/AcczIX8y7aW&#10;YItDu/jznkpmW9lPHFYyQoQo49UnxAswnMjmlUnzCuUxNDW041LaljkZlcbk73OZzubwLKTngItr&#10;WP9pWq6BYvpVjQAAfyHkY88/Dn0Nhy0kXwL6gYOCDvuVmb0W+/USdtg3Hrny+tgDT3rM7YcXdPsI&#10;euPiyvEjBARDPZwOas8fIK/z/C/w/PUidujfQT/w42Pojy6IfkwizyPAwhTtOYx+v0P/C9BfL2KH&#10;/h30R0fR72r3eyHe4wYeCn1yBP1O1KH/+ejfLGKH/m30Q5B1zPe7OoC9EPpJREgQHkV/x3xeEPNu&#10;FrFD/w76gWYb5vMDm4gZ40pGnKRcSYdFln7hFnJxg/2MuJF84hX/tKP6aD3p82MOgs6W6GNuOS76&#10;GBEC+cD14Q90mCzNf1wLBJUaFHqRhzy9M2CwkohsRwWButnIQQGKHKR73S4HTRgvR4JzEISExBtN&#10;SIkQ2zpPLcopXUXJN5GHvRPqDcgj0Y2m27vqzSItQWrN0sXQDs1gdWxzQMqxSj2XVIlpoMgM7QVL&#10;QIthoPCqI9NRpfToyKiSs1SMpBXPvyMneh++D0mPYP99jzhJ0rsej0jPH6PAu3VvR6Nb9I8aBiKD&#10;eZokjCsta62+IvI0cbHSgY1uWuuv9ZT1t1vXcwtdXP/Xndbi4EaoMhaqRqcgc0H5x8enTcG9lCko&#10;hXDbErRN/LFrE35tEy5y92zCa9pEGHU20dkEJGoOJTkOJwPwJhsAyvm8ZHu7wwKSOnn6BfRy1zu/&#10;bShfV+0GGOMwdCFuV/J/EOylBzDI9w7sFio9sJbRWzIDRSmpEqTr7cDo0lr1P/d2cFTQ7HaAC+8A&#10;wLwNGWpBO3Kb6S9FbAAfx5lNA7IEu5EfwC4DkAwDvKdrVuwFh4DcE5DNUq5Sd1Vq6twgVVmvW1rM&#10;TXYrgSNl6nRwFLymUx0/0Rn0ZyWc23wxeLNTVL3Ob0B29rxU3anYawPfGFKyrmd0+5AQf1e3B10/&#10;RErXVz7ZRcQ9hfKvxdHb8N5x92+Wu9fpqxbP3eApdRbkfDbSMAqX+JCuAoW1jaeEpOMpXaT6PFZe&#10;p6tOo73OelwE7QRoTRCaLeAgK1esB1hWx8o7XWav0K6N99Tpqc/srigf6J2Fm6hWVWhWuboRUBRm&#10;Irdz1aNhN/QIMehGyAuBAhkivK5MUNSdEOivwnfkuxXFb1ch5VY92gker3aVhrKmq7y+Pe1vq1at&#10;aJbFjfWfmrFtUbRVJDQlH5WciTBxbnDUG/th0CNT4vWiwAl7DopuIt+BzMnteFvO/AAx0uvlTCW8&#10;+q53qlxPq3XroG1rCp5OGvXE1Gqs6v5aJ13/P6SX1oV9G53+IkmO8v9S1hfUCb6W3RKRZ0f1mwTF&#10;QVkWBSC6Q8pVkb4gqkpTNwVM6gvtIrCLKh/S7iIuG+p3If0lUw4B7CXHQ3oMxQ7gF6r885lC+ka4&#10;opAbtCMXipOIr4qT1Ab3FPR+rRD+6V63E1kvK7IqAdRgvqZzUEveAPnl+Jzrh76nUhwAZhTtsTkA&#10;eoQquQpH+KQo25E5eBWiI3ONFzFeQebqTHNH5hpvJ8HetPYebWTOa/qS56ZocIgin5isIoR3e1nF&#10;NW+DEsVT4vU5eNt4rIsC9iIoU7DSpWikYUpfrYQkqBOIrdVUXm3Y5xPkqmqqAykaoHeuU9G7gyka&#10;J/AiBPjXKRoMdVTrmLYld35efvd8vHe87/kpGv2yKbxoqlWG6i1c9eps8xyOm+8KX/0LAAD//wMA&#10;UEsDBBQABgAIAAAAIQDyqN5v3QAAAAUBAAAPAAAAZHJzL2Rvd25yZXYueG1sTI9Ba8JAEIXvhf6H&#10;ZQq91U2MLRKzERHrSQrVQvE2ZsckmJ0N2TWJ/95tL+1l4PEe732TLUfTiJ46V1tWEE8iEMSF1TWX&#10;Cr4O7y9zEM4ja2wsk4IbOVjmjw8ZptoO/En93pcilLBLUUHlfZtK6YqKDLqJbYmDd7adQR9kV0rd&#10;4RDKTSOnUfQmDdYcFipsaV1RcdlfjYLtgMMqiTf97nJe346H14/vXUxKPT+NqwUIT6P/C8MPfkCH&#10;PDCd7JW1E42C8Ij/vcGbJ/EMxElBkswikHkm/9PndwAAAP//AwBQSwECLQAUAAYACAAAACEA5JnD&#10;wPsAAADhAQAAEwAAAAAAAAAAAAAAAAAAAAAAW0NvbnRlbnRfVHlwZXNdLnhtbFBLAQItABQABgAI&#10;AAAAIQAjsmrh1wAAAJQBAAALAAAAAAAAAAAAAAAAACwBAABfcmVscy8ucmVsc1BLAQItABQABgAI&#10;AAAAIQCn3u4SdAcAAHM8AAAOAAAAAAAAAAAAAAAAACwCAABkcnMvZTJvRG9jLnhtbFBLAQItABQA&#10;BgAIAAAAIQDyqN5v3QAAAAUBAAAPAAAAAAAAAAAAAAAAAMwJAABkcnMvZG93bnJldi54bWxQSwUG&#10;AAAAAAQABADzAAAA1goAAAAA&#10;">
                <v:shape id="_x0000_s1093" type="#_x0000_t75" style="position:absolute;width:5279390;height:2120900;visibility:visible;mso-wrap-style:square">
                  <v:fill o:detectmouseclick="t"/>
                  <v:path o:connecttype="none"/>
                </v:shape>
                <v:roundrect id="Afgeronde rechthoek 126" o:spid="_x0000_s1094" style="position:absolute;left:47601;top:35900;width:981117;height:533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T25xAAA&#10;ANsAAAAPAAAAZHJzL2Rvd25yZXYueG1sRI9Ba8JAFITvgv9heUJvuqmilNRVRBCFFqla6PWRfWZj&#10;s29jdpvEf+8KBY/DzHzDzJedLUVDtS8cK3gdJSCIM6cLzhV8nzbDNxA+IGssHZOCG3lYLvq9Oaba&#10;tXyg5hhyESHsU1RgQqhSKX1myKIfuYo4emdXWwxR1rnUNbYRbks5TpKZtFhwXDBY0dpQ9nv8swqa&#10;n+tktzJf28/Lqf0o9/l0fNhXSr0MutU7iEBdeIb/2zutYDaBx5f4A+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U9ucQAAADbAAAADwAAAAAAAAAAAAAAAACXAgAAZHJzL2Rv&#10;d25yZXYueG1sUEsFBgAAAAAEAAQA9QAAAIgDAAAAAA==&#10;" fillcolor="#4f81bd" strokecolor="#243f60" strokeweight="2pt">
                  <v:textbox>
                    <w:txbxContent>
                      <w:p w14:paraId="67A38534" w14:textId="5AB9D231" w:rsidR="00972546" w:rsidRDefault="00972546" w:rsidP="00E76739">
                        <w:pPr>
                          <w:jc w:val="center"/>
                          <w:rPr>
                            <w:color w:val="FFFFFF"/>
                          </w:rPr>
                        </w:pPr>
                        <w:r>
                          <w:rPr>
                            <w:color w:val="FFFFFF"/>
                          </w:rPr>
                          <w:t>Supervised Entities</w:t>
                        </w:r>
                      </w:p>
                    </w:txbxContent>
                  </v:textbox>
                </v:roundrect>
                <v:roundrect id="Afgeronde rechthoek 127" o:spid="_x0000_s1095" style="position:absolute;left:47601;top:701700;width:981117;height:533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pJPxgAA&#10;ANwAAAAPAAAAZHJzL2Rvd25yZXYueG1sRI9Ba8JAFITvQv/D8gq96cYUpURXEUEqtEiNBa+P7DMb&#10;zb5Ns9sk/ffdQsHjMDPfMMv1YGvRUesrxwqmkwQEceF0xaWCz9Nu/ALCB2SNtWNS8EMe1quH0RIz&#10;7Xo+UpeHUkQI+wwVmBCaTEpfGLLoJ64hjt7FtRZDlG0pdYt9hNtapkkylxYrjgsGG9oaKm75t1XQ&#10;nb+e9xvz8fp+PfVv9aGcpcdDo9TT47BZgAg0hHv4v73XCtLZHP7Ox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kpJPxgAAANwAAAAPAAAAAAAAAAAAAAAAAJcCAABkcnMv&#10;ZG93bnJldi54bWxQSwUGAAAAAAQABAD1AAAAigMAAAAA&#10;" fillcolor="#4f81bd" strokecolor="#243f60" strokeweight="2pt">
                  <v:textbox>
                    <w:txbxContent>
                      <w:p w14:paraId="5A5D6183"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v:textbox>
                </v:roundrect>
                <v:roundrect id="Afgeronde rechthoek 128" o:spid="_x0000_s1096" style="position:absolute;left:1257321;top:311200;width:971517;height:533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jfUxgAA&#10;ANwAAAAPAAAAZHJzL2Rvd25yZXYueG1sRI/dasJAFITvC77DcoTe1Y0ptiW6igilgkX8KXh7yJ5m&#10;U7NnY3ZN0rd3hUIvh5n5hpkteluJlhpfOlYwHiUgiHOnSy4UfB3fn95A+ICssXJMCn7Jw2I+eJhh&#10;pl3He2oPoRARwj5DBSaEOpPS54Ys+pGriaP37RqLIcqmkLrBLsJtJdMkeZEWS44LBmtaGcrPh6tV&#10;0J4uz+ul2X18/hy7TbUtJul+Wyv1OOyXUxCB+vAf/muvtYJ08gr3M/EIy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3jfUxgAAANwAAAAPAAAAAAAAAAAAAAAAAJcCAABkcnMv&#10;ZG93bnJldi54bWxQSwUGAAAAAAQABAD1AAAAigMAAAAA&#10;" fillcolor="#4f81bd" strokecolor="#243f60" strokeweight="2pt">
                  <v:textbox>
                    <w:txbxContent>
                      <w:p w14:paraId="0C6796A2"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v:textbox>
                </v:roundrect>
                <v:roundrect id="Afgeronde rechthoek 129" o:spid="_x0000_s1097" style="position:absolute;left:2495543;top:311200;width:971617;height:533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aOmwwAA&#10;ANwAAAAPAAAAZHJzL2Rvd25yZXYueG1sRE9ba8IwFH4X/A/hCHvT1A6HVKOIIBM2ZF7A10NzbKrN&#10;Sddkbffvl4eBjx/ffbnubSVaanzpWMF0koAgzp0uuVBwOe/GcxA+IGusHJOCX/KwXg0HS8y06/hI&#10;7SkUIoawz1CBCaHOpPS5IYt+4mriyN1cYzFE2BRSN9jFcFvJNEnepMWSY4PBmraG8sfpxypor9+v&#10;+435ev+8n7uP6lDM0uOhVupl1G8WIAL14Sn+d++1gnQW18Yz8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QaOmwwAAANwAAAAPAAAAAAAAAAAAAAAAAJcCAABkcnMvZG93&#10;bnJldi54bWxQSwUGAAAAAAQABAD1AAAAhwMAAAAA&#10;" fillcolor="#4f81bd" strokecolor="#243f60" strokeweight="2pt">
                  <v:textbox>
                    <w:txbxContent>
                      <w:p w14:paraId="18BF1D46"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LEAs</w:t>
                        </w:r>
                      </w:p>
                    </w:txbxContent>
                  </v:textbox>
                </v:roundrect>
                <v:roundrect id="Afgeronde rechthoek 130" o:spid="_x0000_s1098" style="position:absolute;left:3751864;top:311200;width:970917;height:533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QY9xgAA&#10;ANwAAAAPAAAAZHJzL2Rvd25yZXYueG1sRI/dasJAFITvC77DcoTe1Y0plja6igilgkX8KXh7yJ5m&#10;U7NnY3ZN0rd3hUIvh5n5hpkteluJlhpfOlYwHiUgiHOnSy4UfB3fn15B+ICssXJMCn7Jw2I+eJhh&#10;pl3He2oPoRARwj5DBSaEOpPS54Ys+pGriaP37RqLIcqmkLrBLsJtJdMkeZEWS44LBmtaGcrPh6tV&#10;0J4uz+ul2X18/hy7TbUtJul+Wyv1OOyXUxCB+vAf/muvtYJ08gb3M/EIy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DQY9xgAAANwAAAAPAAAAAAAAAAAAAAAAAJcCAABkcnMv&#10;ZG93bnJldi54bWxQSwUGAAAAAAQABAD1AAAAigMAAAAA&#10;" fillcolor="#4f81bd" strokecolor="#243f60" strokeweight="2pt">
                  <v:textbox>
                    <w:txbxContent>
                      <w:p w14:paraId="0D1BCBFE"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v:textbox>
                </v:roundrect>
                <v:roundrect id="Afgeronde rechthoek 131" o:spid="_x0000_s1099" style="position:absolute;left:4944784;top:311200;width:970517;height:533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2UdwwAA&#10;ANwAAAAPAAAAZHJzL2Rvd25yZXYueG1sRE9da8IwFH0f7D+EO9jbTO2YjM60iCAKGzJ1sNdLc22q&#10;zU1tsrb+e/Mw8PFwvufFaBvRU+drxwqmkwQEcel0zZWCn8Pq5R2ED8gaG8ek4EoeivzxYY6ZdgPv&#10;qN+HSsQQ9hkqMCG0mZS+NGTRT1xLHLmj6yyGCLtK6g6HGG4bmSbJTFqsOTYYbGlpqDzv/6yC/vfy&#10;ulmY7/XX6TB8NtvqLd1tW6Wen8bFB4hAY7iL/90brSCdxfnxTDwCMr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W2UdwwAAANwAAAAPAAAAAAAAAAAAAAAAAJcCAABkcnMvZG93&#10;bnJldi54bWxQSwUGAAAAAAQABAD1AAAAhwMAAAAA&#10;" fillcolor="#4f81bd" strokecolor="#243f60" strokeweight="2pt">
                  <v:textbox>
                    <w:txbxContent>
                      <w:p w14:paraId="49635B40"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v:textbox>
                </v:roundrect>
                <v:shape id="Gebogen verbindingslijn 132" o:spid="_x0000_s1100" type="#_x0000_t33" style="position:absolute;left:859515;top:247894;width:76200;height:719012;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t5U8IAAADcAAAADwAAAGRycy9kb3ducmV2LnhtbESPQYvCMBSE74L/IbwFbzathyLVKLsL&#10;gggerF56ezTPtti8lCZq9dcbQfA4zMw3zHI9mFbcqHeNZQVJFIMgLq1uuFJwOm6mcxDOI2tsLZOC&#10;BzlYr8ajJWba3vlAt9xXIkDYZaig9r7LpHRlTQZdZDvi4J1tb9AH2VdS93gPcNPKWRyn0mDDYaHG&#10;jv5rKi/51SgobOX03/lZbNK4OCbpLtf74aHU5Gf4XYDwNPhv+NPeagWzNIH3mXA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rt5U8IAAADcAAAADwAAAAAAAAAAAAAA&#10;AAChAgAAZHJzL2Rvd25yZXYueG1sUEsFBgAAAAAEAAQA+QAAAJADAAAAAA==&#10;" strokecolor="#4579b8">
                  <v:stroke endarrow="open"/>
                </v:shape>
                <v:shape id="Gebogen verbindingslijn 133" o:spid="_x0000_s1101" type="#_x0000_t33" style="position:absolute;left:869515;top:313894;width:56200;height:718912;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OzUsYAAADcAAAADwAAAGRycy9kb3ducmV2LnhtbESPQWvCQBSE74X+h+UVvATdmJZgU1dR&#10;QbCHFow5eHxkn0kw+zZkVxP/fbdQ6HGYmW+Y5Xo0rbhT7xrLCuazGARxaXXDlYLitJ8uQDiPrLG1&#10;TAoe5GC9en5aYqbtwEe6574SAcIuQwW1910mpStrMuhmtiMO3sX2Bn2QfSV1j0OAm1YmcZxKgw2H&#10;hRo72tVUXvObUbB9T7/d+bWwX9Gb3kaby3V3/IyVmryMmw8Qnkb/H/5rH7SCJE3g90w4AnL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fTs1LGAAAA3AAAAA8AAAAAAAAA&#10;AAAAAAAAoQIAAGRycy9kb3ducmV2LnhtbFBLBQYAAAAABAAEAPkAAACUAwAAAAA=&#10;" strokecolor="#4579b8">
                  <v:stroke endarrow="open"/>
                </v:shape>
                <v:shape id="Rechte verbindingslijn met pijl 135" o:spid="_x0000_s1102" type="#_x0000_t32" style="position:absolute;left:2228838;top:577900;width:2667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8bZsUAAADcAAAADwAAAGRycy9kb3ducmV2LnhtbESPQWsCMRSE74L/ITyht5rUiq1bo2gX&#10;QeipVjw/Nq+b7W5elk26rv/eFAoeh5n5hlltBteInrpQedbwNFUgiAtvKi41nL72j68gQkQ22Hgm&#10;DVcKsFmPRyvMjL/wJ/XHWIoE4ZChBhtjm0kZCksOw9S3xMn79p3DmGRXStPhJcFdI2dKLaTDitOC&#10;xZbeLRX18ddpOAxqfv7ZF6q115elrE95vvvItX6YDNs3EJGGeA//tw9Gw2zxDH9n0hGQ6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8bZsUAAADcAAAADwAAAAAAAAAA&#10;AAAAAAChAgAAZHJzL2Rvd25yZXYueG1sUEsFBgAAAAAEAAQA+QAAAJMDAAAAAA==&#10;" strokecolor="#4579b8">
                  <v:stroke endarrow="open"/>
                </v:shape>
                <v:line id="Rechte verbindingslijn 136" o:spid="_x0000_s1103" style="position:absolute;visibility:visible;mso-wrap-style:square" from="4239672,872200" to="4239672,1158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SGGcQAAADcAAAADwAAAGRycy9kb3ducmV2LnhtbESPS4vCMBSF98L8h3CF2ciYKlJLNYoM&#10;yMxOfC1md2luH9rclCbWzr83guDycB4fZ7nuTS06al1lWcFkHIEgzqyuuFBwOm6/EhDOI2usLZOC&#10;f3KwXn0Mlphqe+c9dQdfiDDCLkUFpfdNKqXLSjLoxrYhDl5uW4M+yLaQusV7GDe1nEZRLA1WHAgl&#10;NvRdUnY93Ezgzi/FXx4nu+1Pn5+P+42bd6NEqc9hv1mA8NT7d/jV/tUKpvEMnmfCEZC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xIYZxAAAANwAAAAPAAAAAAAAAAAA&#10;AAAAAKECAABkcnMvZG93bnJldi54bWxQSwUGAAAAAAQABAD5AAAAkgMAAAAA&#10;" strokecolor="#4579b8">
                  <v:stroke dashstyle="dash"/>
                </v:line>
                <v:shape id="Gebogen verbindingslijn 137" o:spid="_x0000_s1104" type="#_x0000_t33" style="position:absolute;left:2981351;top:844600;width:1258121;height:31430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a7fMYAAADcAAAADwAAAGRycy9kb3ducmV2LnhtbESPS0sDQRCE74L/YWjBm5k16BLWTEIe&#10;iIISSOLFW7PT7izu9Cw7vQ/99Y4geCyq6itquZ58owbqYh3YwO0sA0VcBltzZeDt/HizABUF2WIT&#10;mAx8UYT16vJiiYUNIx9pOEmlEoRjgQacSFtoHUtHHuMstMTJ+widR0myq7TtcExw3+h5luXaY81p&#10;wWFLO0fl56n3Bo7ymr9U/bC9y/rd+/fBjU+y3xhzfTVtHkAJTfIf/ms/WwPz/B5+z6Qjo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UGu3zGAAAA3AAAAA8AAAAAAAAA&#10;AAAAAAAAoQIAAGRycy9kb3ducmV2LnhtbFBLBQYAAAAABAAEAPkAAACUAwAAAAA=&#10;" strokecolor="#4579b8">
                  <v:stroke dashstyle="dash" endarrow="open"/>
                </v:shape>
                <v:shape id="Rechte verbindingslijn met pijl 138" o:spid="_x0000_s1105" type="#_x0000_t32" style="position:absolute;left:3467159;top:577900;width:2847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QdZcMAAADcAAAADwAAAGRycy9kb3ducmV2LnhtbESPQWsCMRSE7wX/Q3iCt5ooonU1inYR&#10;hJ5qxfNj89ysbl6WTarrvzdCocdhZr5hluvO1eJGbag8axgNFQjiwpuKSw3Hn937B4gQkQ3WnknD&#10;gwKsV723JWbG3/mbbodYigThkKEGG2OTSRkKSw7D0DfEyTv71mFMsi2lafGe4K6WY6Wm0mHFacFi&#10;Q5+Wiuvh12nYd2pyuuwK1djHbC6vxzzffuVaD/rdZgEiUhf/w3/tvdEwns7gdSYdAbl6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jEHWXDAAAA3AAAAA8AAAAAAAAAAAAA&#10;AAAAoQIAAGRycy9kb3ducmV2LnhtbFBLBQYAAAAABAAEAPkAAACRAwAAAAA=&#10;" strokecolor="#4579b8">
                  <v:stroke endarrow="open"/>
                </v:shape>
                <v:shape id="Rechte verbindingslijn met pijl 139" o:spid="_x0000_s1106" type="#_x0000_t32" style="position:absolute;left:4722781;top:577900;width:22200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uJF8AAAADcAAAADwAAAGRycy9kb3ducmV2LnhtbERPTYvCMBC9L/gfwgje1kQRV6tR1CII&#10;e1oVz0MzNtVmUpqo9d9vDgt7fLzv5bpztXhSGyrPGkZDBYK48KbiUsP5tP+cgQgR2WDtmTS8KcB6&#10;1ftYYmb8i3/oeYylSCEcMtRgY2wyKUNhyWEY+oY4cVffOowJtqU0Lb5SuKvlWKmpdFhxarDY0M5S&#10;cT8+nIZDpyaX275QjX1/zeX9nOfb71zrQb/bLEBE6uK/+M99MBrG07Q2nUlHQK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lbiRfAAAAA3AAAAA8AAAAAAAAAAAAAAAAA&#10;oQIAAGRycy9kb3ducmV2LnhtbFBLBQYAAAAABAAEAPkAAACOAwAAAAA=&#10;" strokecolor="#4579b8">
                  <v:stroke endarrow="open"/>
                </v:shape>
                <v:shape id="Tekstvak 29" o:spid="_x0000_s1107" type="#_x0000_t202" style="position:absolute;left:2385441;top:1158800;width:2867449;height:96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dCxwAA&#10;ANwAAAAPAAAAZHJzL2Rvd25yZXYueG1sRI9Ba8JAFITvQv/D8gq96cZAg01dRQKhRezB6KW31+wz&#10;CWbfptmtif76bqHgcZiZb5jlejStuFDvGssK5rMIBHFpdcOVguMhny5AOI+ssbVMCq7kYL16mCwx&#10;1XbgPV0KX4kAYZeigtr7LpXSlTUZdDPbEQfvZHuDPsi+krrHIcBNK+MoSqTBhsNCjR1lNZXn4sco&#10;2Gb5B+6/YrO4tdnb7rTpvo+fz0o9PY6bVxCeRn8P/7fftYI4eYG/M+EI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QnQscAAADcAAAADwAAAAAAAAAAAAAAAACXAgAAZHJz&#10;L2Rvd25yZXYueG1sUEsFBgAAAAAEAAQA9QAAAIsDAAAAAA==&#10;" filled="f" stroked="f" strokeweight=".5pt">
                  <v:textbox>
                    <w:txbxContent>
                      <w:p w14:paraId="2614B9AF" w14:textId="77777777" w:rsidR="00972546" w:rsidRPr="000E233C" w:rsidRDefault="00972546" w:rsidP="00E76739">
                        <w:pPr>
                          <w:pStyle w:val="NormalWeb"/>
                          <w:spacing w:after="0" w:line="240" w:lineRule="auto"/>
                          <w:rPr>
                            <w:rFonts w:ascii="Calibri" w:hAnsi="Calibri" w:cs="Calibri"/>
                            <w:sz w:val="18"/>
                            <w:szCs w:val="18"/>
                            <w:lang w:val="en-US"/>
                          </w:rPr>
                        </w:pPr>
                        <w:r w:rsidRPr="000E233C">
                          <w:rPr>
                            <w:rFonts w:ascii="Calibri" w:hAnsi="Calibri" w:cs="Calibri"/>
                            <w:sz w:val="18"/>
                            <w:szCs w:val="18"/>
                            <w:lang w:val="en-US"/>
                          </w:rPr>
                          <w:t>PPO supervises the LEAs that receive reports:</w:t>
                        </w:r>
                      </w:p>
                      <w:p w14:paraId="04243130"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Economic Crime Police</w:t>
                        </w:r>
                      </w:p>
                      <w:p w14:paraId="7B7FC444"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Organised Crime Police</w:t>
                        </w:r>
                      </w:p>
                      <w:p w14:paraId="6F996FFE"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Financial Crime Police</w:t>
                        </w:r>
                      </w:p>
                      <w:p w14:paraId="6C6A56E3"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Security Police</w:t>
                        </w:r>
                      </w:p>
                      <w:p w14:paraId="469426CB" w14:textId="77777777" w:rsidR="00972546" w:rsidRDefault="00972546" w:rsidP="00E76739">
                        <w:pPr>
                          <w:pStyle w:val="NormalWeb"/>
                          <w:numPr>
                            <w:ilvl w:val="0"/>
                            <w:numId w:val="1"/>
                          </w:numPr>
                          <w:spacing w:after="0" w:line="240" w:lineRule="auto"/>
                          <w:jc w:val="both"/>
                          <w:rPr>
                            <w:rFonts w:ascii="Calibri" w:hAnsi="Calibri" w:cs="Calibri"/>
                            <w:sz w:val="18"/>
                            <w:szCs w:val="18"/>
                          </w:rPr>
                        </w:pPr>
                        <w:r>
                          <w:rPr>
                            <w:rFonts w:ascii="Calibri" w:hAnsi="Calibri" w:cs="Calibri"/>
                            <w:sz w:val="18"/>
                            <w:szCs w:val="18"/>
                          </w:rPr>
                          <w:t>Anti-Corruption Bureau</w:t>
                        </w:r>
                      </w:p>
                    </w:txbxContent>
                  </v:textbox>
                </v:shape>
                <v:line id="Rechte verbindingslijn 146" o:spid="_x0000_s1108" style="position:absolute;flip:x y;visibility:visible;mso-wrap-style:square" from="1742630,79400" to="1743030,31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kC6IMEAAADcAAAADwAAAGRycy9kb3ducmV2LnhtbERPy4rCMBTdD8w/hDswuzFV8EE1ShEq&#10;uhHU2czu2lybYHNTmlg7f28WA7M8nPdqM7hG9NQF61nBeJSBIK68tlwr+L6UXwsQISJrbDyTgl8K&#10;sFm/v60w1/7JJ+rPsRYphEOOCkyMbS5lqAw5DCPfEifu5juHMcGulrrDZwp3jZxk2Uw6tJwaDLa0&#10;NVTdzw+nYFFm9+PVFo0tp4U59D87uaucUp8fQ7EEEWmI/+I/914rmMzT/HQmHQG5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QLogwQAAANwAAAAPAAAAAAAAAAAAAAAA&#10;AKECAABkcnMvZG93bnJldi54bWxQSwUGAAAAAAQABAD5AAAAjwMAAAAA&#10;" strokecolor="#4579b8"/>
                <v:shape id="Gebogen verbindingslijn 217" o:spid="_x0000_s1109" type="#_x0000_t33" style="position:absolute;left:1742730;top:79400;width:2494643;height:23180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Vm1MQAAADcAAAADwAAAGRycy9kb3ducmV2LnhtbESPQWvCQBSE70L/w/IKvYjuJgVboqtI&#10;wdKAF2Pp+ZF9TUKzb0N2m6T+ercgeBxm5htms5tsKwbqfeNYQ7JUIIhLZxquNHyeD4tXED4gG2wd&#10;k4Y/8rDbPsw2mBk38omGIlQiQthnqKEOocuk9GVNFv3SdcTR+3a9xRBlX0nT4xjhtpWpUitpseG4&#10;UGNHbzWVP8Wv1VC989c+txZ5rg7HZJWr4vmitH56nPZrEIGmcA/f2h9GQ/qSwP+ZeATk9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FWbUxAAAANwAAAAPAAAAAAAAAAAA&#10;AAAAAKECAABkcnMvZG93bnJldi54bWxQSwUGAAAAAAQABAD5AAAAkgMAAAAA&#10;" strokecolor="#4579b8">
                  <v:stroke endarrow="open"/>
                </v:shape>
                <v:shape id="Tekstvak 572" o:spid="_x0000_s1110" type="#_x0000_t202" style="position:absolute;left:3686563;top:19800;width:643911;height:292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SPuxgAA&#10;ANwAAAAPAAAAZHJzL2Rvd25yZXYueG1sRI9Li8JAEITvC/sfhl7wtk4M+CDrKBKQFdGDj4u33kyb&#10;BDM92cyo0V/vCILHoqq+osbT1lTiQo0rLSvodSMQxJnVJecK9rv59wiE88gaK8uk4EYOppPPjzEm&#10;2l55Q5etz0WAsEtQQeF9nUjpsoIMuq6tiYN3tI1BH2STS93gNcBNJeMoGkiDJYeFAmtKC8pO27NR&#10;sEzna9z8xWZ0r9Lf1XFW/+8PfaU6X+3sB4Sn1r/Dr/ZCK4iHMTzPhCMgJ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KSPuxgAAANwAAAAPAAAAAAAAAAAAAAAAAJcCAABkcnMv&#10;ZG93bnJldi54bWxQSwUGAAAAAAQABAD1AAAAigMAAAAA&#10;" filled="f" stroked="f" strokeweight=".5pt">
                  <v:textbox>
                    <w:txbxContent>
                      <w:p w14:paraId="0BBB24AF" w14:textId="77777777" w:rsidR="00972546" w:rsidRDefault="00972546" w:rsidP="00E76739">
                        <w:pPr>
                          <w:pStyle w:val="NormalWeb"/>
                          <w:spacing w:after="0"/>
                          <w:rPr>
                            <w:rFonts w:ascii="Calibri" w:hAnsi="Calibri" w:cs="Calibri"/>
                          </w:rPr>
                        </w:pPr>
                        <w:r>
                          <w:rPr>
                            <w:rFonts w:ascii="Calibri" w:hAnsi="Calibri" w:cs="Calibri"/>
                            <w:sz w:val="18"/>
                            <w:szCs w:val="18"/>
                          </w:rPr>
                          <w:t>a copy</w:t>
                        </w:r>
                      </w:p>
                    </w:txbxContent>
                  </v:textbox>
                </v:shape>
                <v:line id="Rechte verbindingslijn 152" o:spid="_x0000_s1111" style="position:absolute;visibility:visible;mso-wrap-style:square" from="2819648,880900" to="2819648,116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SDk8YAAADcAAAADwAAAGRycy9kb3ducmV2LnhtbESPQWvCQBSE74X+h+UVvNWNWmxJs0oN&#10;KD2IYNpij4/saxKafRt2Nxr/vSsIHoeZ+YbJloNpxZGcbywrmIwTEMSl1Q1XCr6/1s9vIHxA1tha&#10;JgVn8rBcPD5kmGp74j0di1CJCGGfooI6hC6V0pc1GfRj2xFH7886gyFKV0nt8BThppXTJJlLgw3H&#10;hRo7ymsq/4veKFi5ZnfY/OTbgC/7PP+d9KuD2yk1eho+3kEEGsI9fGt/agXT1xlcz8QjIB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Hkg5PGAAAA3AAAAA8AAAAAAAAA&#10;AAAAAAAAoQIAAGRycy9kb3ducmV2LnhtbFBLBQYAAAAABAAEAPkAAACUAwAAAAA=&#10;" strokecolor="red">
                  <v:stroke dashstyle="dash"/>
                </v:line>
                <v:shape id="Gebogen verbindingslijn 153" o:spid="_x0000_s1112" type="#_x0000_t33" style="position:absolute;left:1743030;top:844600;width:1075918;height:32190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zrIg8YAAADcAAAADwAAAGRycy9kb3ducmV2LnhtbESPQWvCQBSE74L/YXlCb7ox1LakrqKF&#10;FqUimHrw+Mg+k2D2bchuk/jvXUHwOMzMN8x82ZtKtNS40rKC6SQCQZxZXXKu4Pj3Pf4A4Tyyxsoy&#10;KbiSg+ViOJhjom3HB2pTn4sAYZeggsL7OpHSZQUZdBNbEwfvbBuDPsgml7rBLsBNJeMoepMGSw4L&#10;Bdb0VVB2Sf+NgtmsPf7E63J7WO03afd7krvp6azUy6hffYLw1Ptn+NHeaAXx+yvcz4QjIB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86yIPGAAAA3AAAAA8AAAAAAAAA&#10;AAAAAAAAoQIAAGRycy9kb3ducmV2LnhtbFBLBQYAAAAABAAEAPkAAACUAwAAAAA=&#10;" strokecolor="red">
                  <v:stroke dashstyle="dash" endarrow="open"/>
                </v:shape>
                <w10:anchorlock/>
              </v:group>
            </w:pict>
          </mc:Fallback>
        </mc:AlternateContent>
      </w:r>
      <w:commentRangeEnd w:id="62"/>
      <w:r w:rsidR="004A6762">
        <w:rPr>
          <w:rStyle w:val="CommentReference"/>
        </w:rPr>
        <w:commentReference w:id="62"/>
      </w:r>
    </w:p>
    <w:p w14:paraId="651D2204" w14:textId="6BDA9FCE" w:rsidR="00E76739" w:rsidRPr="00E76739" w:rsidRDefault="00E76739" w:rsidP="00E76739">
      <w:pPr>
        <w:spacing w:after="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The blue arrows represent the information that flows from one agency to another (normally that is a report/case unless it is specified that it only concerns a copy) and the red dotted arrows illustrate supervision and </w:t>
      </w:r>
      <w:r w:rsidR="00447004" w:rsidRPr="00E76739">
        <w:rPr>
          <w:rFonts w:ascii="Calibri" w:eastAsia="Times New Roman" w:hAnsi="Calibri" w:cs="Calibri"/>
          <w:i/>
          <w:sz w:val="20"/>
          <w:szCs w:val="20"/>
          <w:lang w:val="en-GB" w:eastAsia="zh-CN"/>
        </w:rPr>
        <w:t>case</w:t>
      </w:r>
      <w:r w:rsidR="00447004">
        <w:rPr>
          <w:rFonts w:ascii="Calibri" w:eastAsia="Times New Roman" w:hAnsi="Calibri" w:cs="Calibri"/>
          <w:i/>
          <w:sz w:val="20"/>
          <w:szCs w:val="20"/>
          <w:lang w:val="en-GB" w:eastAsia="zh-CN"/>
        </w:rPr>
        <w:t>-</w:t>
      </w:r>
      <w:r w:rsidRPr="00E76739">
        <w:rPr>
          <w:rFonts w:ascii="Calibri" w:eastAsia="Times New Roman" w:hAnsi="Calibri" w:cs="Calibri"/>
          <w:i/>
          <w:sz w:val="20"/>
          <w:szCs w:val="20"/>
          <w:lang w:val="en-GB" w:eastAsia="zh-CN"/>
        </w:rPr>
        <w:t xml:space="preserve">specific feedback. We have only looked at feedback directed to the FIU, and therefore this </w:t>
      </w:r>
      <w:r w:rsidR="00272778">
        <w:rPr>
          <w:rFonts w:ascii="Calibri" w:eastAsia="Times New Roman" w:hAnsi="Calibri" w:cs="Calibri"/>
          <w:i/>
          <w:sz w:val="20"/>
          <w:szCs w:val="20"/>
          <w:lang w:val="en-GB" w:eastAsia="zh-CN"/>
        </w:rPr>
        <w:t>figure</w:t>
      </w:r>
      <w:r w:rsidR="00272778"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excludes all other feedback</w:t>
      </w:r>
      <w:r w:rsidR="00272778">
        <w:rPr>
          <w:rFonts w:ascii="Calibri" w:eastAsia="Times New Roman" w:hAnsi="Calibri" w:cs="Calibri"/>
          <w:i/>
          <w:sz w:val="20"/>
          <w:szCs w:val="20"/>
          <w:lang w:val="en-GB" w:eastAsia="zh-CN"/>
        </w:rPr>
        <w:t>,</w:t>
      </w:r>
      <w:r w:rsidRPr="00E76739">
        <w:rPr>
          <w:rFonts w:ascii="Calibri" w:eastAsia="Times New Roman" w:hAnsi="Calibri" w:cs="Calibri"/>
          <w:i/>
          <w:sz w:val="20"/>
          <w:szCs w:val="20"/>
          <w:lang w:val="en-GB" w:eastAsia="zh-CN"/>
        </w:rPr>
        <w:t xml:space="preserve"> i.e. between court and prosecution. </w:t>
      </w:r>
    </w:p>
    <w:p w14:paraId="29AEDEB2" w14:textId="77777777" w:rsidR="00E76739" w:rsidRPr="00E76739" w:rsidRDefault="00E76739" w:rsidP="00E76739">
      <w:pPr>
        <w:spacing w:after="0" w:line="240" w:lineRule="auto"/>
        <w:jc w:val="both"/>
        <w:rPr>
          <w:rFonts w:ascii="Calibri" w:eastAsia="Calibri" w:hAnsi="Calibri" w:cs="Calibri"/>
          <w:lang w:val="en-GB" w:eastAsia="zh-CN"/>
        </w:rPr>
      </w:pPr>
      <w:bookmarkStart w:id="63" w:name="_Toc341109092"/>
      <w:bookmarkStart w:id="64" w:name="_Toc341266532"/>
      <w:bookmarkStart w:id="65" w:name="_Toc341269287"/>
    </w:p>
    <w:p w14:paraId="34A221DD" w14:textId="77777777" w:rsidR="00E76739" w:rsidRPr="00E76739" w:rsidRDefault="00E76739" w:rsidP="00E76739">
      <w:pPr>
        <w:spacing w:after="0" w:line="240" w:lineRule="auto"/>
        <w:jc w:val="both"/>
        <w:rPr>
          <w:rFonts w:ascii="Calibri" w:eastAsia="Calibri" w:hAnsi="Calibri" w:cs="Calibri"/>
          <w:lang w:val="en-GB" w:eastAsia="zh-CN"/>
        </w:rPr>
      </w:pPr>
    </w:p>
    <w:p w14:paraId="4AF9F4E6"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.5.16 </w:t>
      </w:r>
      <w:r w:rsidR="00E76739" w:rsidRPr="00E76739">
        <w:rPr>
          <w:rFonts w:ascii="Calibri" w:eastAsia="SimSun" w:hAnsi="Calibri" w:cs="Times New Roman"/>
          <w:b/>
          <w:bCs/>
          <w:lang w:val="en-GB" w:eastAsia="zh-CN"/>
        </w:rPr>
        <w:tab/>
        <w:t>Lithuania</w:t>
      </w:r>
      <w:bookmarkEnd w:id="63"/>
      <w:bookmarkEnd w:id="64"/>
      <w:bookmarkEnd w:id="65"/>
    </w:p>
    <w:p w14:paraId="7234FEAF" w14:textId="77777777" w:rsidR="00E76739" w:rsidRPr="00E76739" w:rsidRDefault="00E76739" w:rsidP="00E76739">
      <w:pPr>
        <w:spacing w:after="0" w:line="240" w:lineRule="auto"/>
        <w:jc w:val="both"/>
        <w:rPr>
          <w:rFonts w:ascii="Calibri" w:eastAsia="SimSun" w:hAnsi="Calibri" w:cs="Times New Roman"/>
          <w:bCs/>
          <w:lang w:val="en-GB" w:eastAsia="zh-CN"/>
        </w:rPr>
      </w:pPr>
    </w:p>
    <w:p w14:paraId="761B6553" w14:textId="32256259" w:rsidR="00E76739" w:rsidRPr="00E76739" w:rsidRDefault="00447004" w:rsidP="00E76739">
      <w:pPr>
        <w:spacing w:after="0" w:line="240" w:lineRule="auto"/>
        <w:jc w:val="both"/>
        <w:rPr>
          <w:rFonts w:ascii="Calibri" w:eastAsia="Calibri" w:hAnsi="Calibri" w:cs="Calibri"/>
          <w:lang w:val="en-GB" w:eastAsia="zh-CN"/>
        </w:rPr>
      </w:pPr>
      <w:r>
        <w:rPr>
          <w:rFonts w:ascii="Calibri" w:eastAsia="Calibri" w:hAnsi="Calibri" w:cs="Calibri"/>
          <w:lang w:val="en-GB" w:eastAsia="zh-CN"/>
        </w:rPr>
        <w:t>Upon completing a report,</w:t>
      </w:r>
      <w:r w:rsidRPr="00E76739">
        <w:rPr>
          <w:rFonts w:ascii="Calibri" w:eastAsia="Calibri" w:hAnsi="Calibri" w:cs="Calibri"/>
          <w:lang w:val="en-GB" w:eastAsia="zh-CN"/>
        </w:rPr>
        <w:t xml:space="preserve"> </w:t>
      </w:r>
      <w:r>
        <w:rPr>
          <w:rFonts w:ascii="Calibri" w:eastAsia="Calibri" w:hAnsi="Calibri" w:cs="Calibri"/>
          <w:lang w:val="en-GB" w:eastAsia="zh-CN"/>
        </w:rPr>
        <w:t>t</w:t>
      </w:r>
      <w:r w:rsidRPr="00E76739">
        <w:rPr>
          <w:rFonts w:ascii="Calibri" w:eastAsia="Calibri" w:hAnsi="Calibri" w:cs="Calibri"/>
          <w:lang w:val="en-GB" w:eastAsia="zh-CN"/>
        </w:rPr>
        <w:t xml:space="preserve">he </w:t>
      </w:r>
      <w:r w:rsidR="00E76739" w:rsidRPr="00E76739">
        <w:rPr>
          <w:rFonts w:ascii="Calibri" w:eastAsia="Calibri" w:hAnsi="Calibri" w:cs="Calibri"/>
          <w:lang w:val="en-GB" w:eastAsia="zh-CN"/>
        </w:rPr>
        <w:t>Lithuanian FIU will forward it to the respective territorial FCIS unit which decides whether to start a criminal investigation or not. With respect to TF the cases are forwarded by the FCIS to the State Security Department. According to the Lithuanian representative, the FIU always requires feedback when a report is forwarded to the police or tax authority. The criminal investigation is under the control of the PPO, which is not assumed to give feedback.</w:t>
      </w:r>
    </w:p>
    <w:p w14:paraId="140B14C5" w14:textId="77777777" w:rsidR="00E76739" w:rsidRPr="00E76739" w:rsidRDefault="00E76739" w:rsidP="00E76739">
      <w:pPr>
        <w:spacing w:after="0" w:line="240" w:lineRule="auto"/>
        <w:jc w:val="center"/>
        <w:rPr>
          <w:rFonts w:ascii="Calibri" w:eastAsia="Calibri" w:hAnsi="Calibri" w:cs="Times New Roman"/>
          <w:b/>
          <w:lang w:val="en-GB" w:eastAsia="zh-CN"/>
        </w:rPr>
      </w:pPr>
    </w:p>
    <w:p w14:paraId="08288789" w14:textId="77777777" w:rsidR="00E76739" w:rsidRPr="00E76739" w:rsidRDefault="00E76739" w:rsidP="00E76739">
      <w:pPr>
        <w:spacing w:after="0" w:line="240" w:lineRule="auto"/>
        <w:rPr>
          <w:rFonts w:ascii="Calibri" w:eastAsia="Calibri" w:hAnsi="Calibri" w:cs="Times New Roman"/>
          <w:b/>
          <w:lang w:val="en-GB" w:eastAsia="zh-CN"/>
        </w:rPr>
      </w:pPr>
      <w:r w:rsidRPr="00E76739">
        <w:rPr>
          <w:rFonts w:ascii="Calibri" w:eastAsia="Calibri" w:hAnsi="Calibri" w:cs="Times New Roman"/>
          <w:b/>
          <w:lang w:val="en-GB" w:eastAsia="zh-CN"/>
        </w:rPr>
        <w:br w:type="page"/>
      </w:r>
    </w:p>
    <w:p w14:paraId="15E44E91" w14:textId="5F3AB1D1" w:rsidR="00E76739" w:rsidRPr="00E76739" w:rsidRDefault="00E76739" w:rsidP="00E76739">
      <w:pPr>
        <w:spacing w:after="0" w:line="240" w:lineRule="auto"/>
        <w:jc w:val="center"/>
        <w:rPr>
          <w:rFonts w:ascii="Calibri" w:eastAsia="SimSun" w:hAnsi="Calibri" w:cs="Times New Roman"/>
          <w:b/>
          <w:lang w:val="en-GB" w:eastAsia="zh-CN"/>
        </w:rPr>
      </w:pPr>
      <w:bookmarkStart w:id="66" w:name="_Toc350517107"/>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A27C62">
        <w:rPr>
          <w:rFonts w:ascii="Calibri" w:eastAsia="SimSun" w:hAnsi="Calibri" w:cs="Times New Roman"/>
          <w:b/>
          <w:lang w:val="en-GB" w:eastAsia="zh-CN"/>
        </w:rPr>
        <w:t>20</w:t>
      </w:r>
      <w:r w:rsidRPr="00E76739">
        <w:rPr>
          <w:rFonts w:ascii="Calibri" w:eastAsia="SimSun" w:hAnsi="Calibri" w:cs="Times New Roman"/>
          <w:b/>
          <w:lang w:val="en-GB" w:eastAsia="zh-CN"/>
        </w:rPr>
        <w:t>: AML/CTF Information flows</w:t>
      </w:r>
      <w:r w:rsidR="00A27C62">
        <w:rPr>
          <w:rFonts w:ascii="Calibri" w:eastAsia="SimSun" w:hAnsi="Calibri" w:cs="Times New Roman"/>
          <w:b/>
          <w:lang w:val="en-GB" w:eastAsia="zh-CN"/>
        </w:rPr>
        <w:t xml:space="preserve"> </w:t>
      </w:r>
      <w:r w:rsidRPr="00E76739">
        <w:rPr>
          <w:rFonts w:ascii="Calibri" w:eastAsia="SimSun" w:hAnsi="Calibri" w:cs="Times New Roman"/>
          <w:b/>
          <w:lang w:val="en-GB" w:eastAsia="zh-CN"/>
        </w:rPr>
        <w:t>in Lithuania</w:t>
      </w:r>
      <w:bookmarkEnd w:id="66"/>
    </w:p>
    <w:p w14:paraId="72A6C233" w14:textId="77777777" w:rsidR="00E76739" w:rsidRPr="00E76739" w:rsidRDefault="00E76739" w:rsidP="00E76739">
      <w:pPr>
        <w:spacing w:after="0" w:line="240" w:lineRule="auto"/>
        <w:jc w:val="center"/>
        <w:rPr>
          <w:rFonts w:ascii="Calibri" w:eastAsia="Calibri" w:hAnsi="Calibri" w:cs="Times New Roman"/>
          <w:b/>
          <w:lang w:val="en-GB" w:eastAsia="zh-CN"/>
        </w:rPr>
      </w:pPr>
    </w:p>
    <w:p w14:paraId="02752135" w14:textId="77777777" w:rsidR="00E76739" w:rsidRPr="00E76739" w:rsidRDefault="00E76739" w:rsidP="00E76739">
      <w:pPr>
        <w:spacing w:after="0" w:line="240" w:lineRule="auto"/>
        <w:jc w:val="both"/>
        <w:rPr>
          <w:rFonts w:ascii="Calibri" w:eastAsia="Calibri" w:hAnsi="Calibri" w:cs="Times New Roman"/>
          <w:b/>
          <w:lang w:val="en-GB" w:eastAsia="zh-CN"/>
        </w:rPr>
      </w:pPr>
    </w:p>
    <w:p w14:paraId="62879956" w14:textId="77777777" w:rsidR="00E76739" w:rsidRPr="00E76739" w:rsidRDefault="00C9097D" w:rsidP="00E76739">
      <w:pPr>
        <w:spacing w:after="0" w:line="240" w:lineRule="auto"/>
        <w:jc w:val="both"/>
        <w:rPr>
          <w:rFonts w:ascii="Calibri" w:eastAsia="Times New Roman" w:hAnsi="Calibri" w:cs="Calibri"/>
          <w:b/>
          <w:lang w:val="en-GB" w:eastAsia="zh-CN"/>
        </w:rPr>
      </w:pPr>
      <w:r>
        <w:rPr>
          <w:rFonts w:ascii="Calibri" w:eastAsia="SimSun" w:hAnsi="Calibri" w:cs="Times New Roman"/>
          <w:b/>
          <w:noProof/>
          <w:lang w:val="en-US" w:eastAsia="en-US"/>
        </w:rPr>
        <mc:AlternateContent>
          <mc:Choice Requires="wpc">
            <w:drawing>
              <wp:inline distT="0" distB="0" distL="0" distR="0" wp14:anchorId="13757CDF" wp14:editId="1D4431AF">
                <wp:extent cx="5271770" cy="2698115"/>
                <wp:effectExtent l="0" t="0" r="14605" b="19050"/>
                <wp:docPr id="288" name="Papier 1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 name="Afgeronde rechthoek 97"/>
                        <wps:cNvSpPr>
                          <a:spLocks noChangeArrowheads="1"/>
                        </wps:cNvSpPr>
                        <wps:spPr bwMode="auto">
                          <a:xfrm>
                            <a:off x="36000" y="814405"/>
                            <a:ext cx="981013" cy="533403"/>
                          </a:xfrm>
                          <a:prstGeom prst="roundRect">
                            <a:avLst>
                              <a:gd name="adj" fmla="val 16667"/>
                            </a:avLst>
                          </a:prstGeom>
                          <a:solidFill>
                            <a:srgbClr val="4F81BD"/>
                          </a:solidFill>
                          <a:ln w="25400">
                            <a:solidFill>
                              <a:srgbClr val="385D8A"/>
                            </a:solidFill>
                            <a:round/>
                            <a:headEnd/>
                            <a:tailEnd/>
                          </a:ln>
                        </wps:spPr>
                        <wps:txbx>
                          <w:txbxContent>
                            <w:p w14:paraId="7AA4E43D" w14:textId="15780A8A" w:rsidR="00972546" w:rsidRDefault="00972546" w:rsidP="00E76739">
                              <w:pPr>
                                <w:jc w:val="center"/>
                                <w:rPr>
                                  <w:color w:val="FFFFFF"/>
                                </w:rPr>
                              </w:pPr>
                              <w:r>
                                <w:rPr>
                                  <w:color w:val="FFFFFF"/>
                                </w:rPr>
                                <w:t>Supervised Entities</w:t>
                              </w:r>
                            </w:p>
                          </w:txbxContent>
                        </wps:txbx>
                        <wps:bodyPr rot="0" vert="horz" wrap="square" lIns="91440" tIns="45720" rIns="91440" bIns="45720" anchor="ctr" anchorCtr="0" upright="1">
                          <a:noAutofit/>
                        </wps:bodyPr>
                      </wps:wsp>
                      <wps:wsp>
                        <wps:cNvPr id="22" name="Afgeronde rechthoek 98"/>
                        <wps:cNvSpPr>
                          <a:spLocks noChangeArrowheads="1"/>
                        </wps:cNvSpPr>
                        <wps:spPr bwMode="auto">
                          <a:xfrm>
                            <a:off x="36000" y="1480208"/>
                            <a:ext cx="981013" cy="533403"/>
                          </a:xfrm>
                          <a:prstGeom prst="roundRect">
                            <a:avLst>
                              <a:gd name="adj" fmla="val 16667"/>
                            </a:avLst>
                          </a:prstGeom>
                          <a:solidFill>
                            <a:srgbClr val="4F81BD"/>
                          </a:solidFill>
                          <a:ln w="25400">
                            <a:solidFill>
                              <a:srgbClr val="385D8A"/>
                            </a:solidFill>
                            <a:round/>
                            <a:headEnd/>
                            <a:tailEnd/>
                          </a:ln>
                        </wps:spPr>
                        <wps:txbx>
                          <w:txbxContent>
                            <w:p w14:paraId="5B8E8477"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wps:txbx>
                        <wps:bodyPr rot="0" vert="horz" wrap="square" lIns="91440" tIns="45720" rIns="91440" bIns="45720" anchor="ctr" anchorCtr="0" upright="1">
                          <a:noAutofit/>
                        </wps:bodyPr>
                      </wps:wsp>
                      <wps:wsp>
                        <wps:cNvPr id="44" name="Afgeronde rechthoek 99"/>
                        <wps:cNvSpPr>
                          <a:spLocks noChangeArrowheads="1"/>
                        </wps:cNvSpPr>
                        <wps:spPr bwMode="auto">
                          <a:xfrm>
                            <a:off x="1245517" y="1034006"/>
                            <a:ext cx="971613" cy="533403"/>
                          </a:xfrm>
                          <a:prstGeom prst="roundRect">
                            <a:avLst>
                              <a:gd name="adj" fmla="val 16667"/>
                            </a:avLst>
                          </a:prstGeom>
                          <a:solidFill>
                            <a:srgbClr val="4F81BD"/>
                          </a:solidFill>
                          <a:ln w="25400">
                            <a:solidFill>
                              <a:srgbClr val="385D8A"/>
                            </a:solidFill>
                            <a:round/>
                            <a:headEnd/>
                            <a:tailEnd/>
                          </a:ln>
                        </wps:spPr>
                        <wps:txbx>
                          <w:txbxContent>
                            <w:p w14:paraId="1E5423FE"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wps:txbx>
                        <wps:bodyPr rot="0" vert="horz" wrap="square" lIns="91440" tIns="45720" rIns="91440" bIns="45720" anchor="ctr" anchorCtr="0" upright="1">
                          <a:noAutofit/>
                        </wps:bodyPr>
                      </wps:wsp>
                      <wps:wsp>
                        <wps:cNvPr id="45" name="Afgeronde rechthoek 100"/>
                        <wps:cNvSpPr>
                          <a:spLocks noChangeArrowheads="1"/>
                        </wps:cNvSpPr>
                        <wps:spPr bwMode="auto">
                          <a:xfrm>
                            <a:off x="2914539" y="1417808"/>
                            <a:ext cx="971613" cy="533403"/>
                          </a:xfrm>
                          <a:prstGeom prst="roundRect">
                            <a:avLst>
                              <a:gd name="adj" fmla="val 16667"/>
                            </a:avLst>
                          </a:prstGeom>
                          <a:solidFill>
                            <a:srgbClr val="4F81BD"/>
                          </a:solidFill>
                          <a:ln w="25400">
                            <a:solidFill>
                              <a:srgbClr val="385D8A"/>
                            </a:solidFill>
                            <a:round/>
                            <a:headEnd/>
                            <a:tailEnd/>
                          </a:ln>
                        </wps:spPr>
                        <wps:txbx>
                          <w:txbxContent>
                            <w:p w14:paraId="11224189"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wps:txbx>
                        <wps:bodyPr rot="0" vert="horz" wrap="square" lIns="91440" tIns="45720" rIns="91440" bIns="45720" anchor="ctr" anchorCtr="0" upright="1">
                          <a:noAutofit/>
                        </wps:bodyPr>
                      </wps:wsp>
                      <wps:wsp>
                        <wps:cNvPr id="46" name="Gebogen verbindingslijn 102"/>
                        <wps:cNvCnPr>
                          <a:cxnSpLocks noChangeShapeType="1"/>
                        </wps:cNvCnPr>
                        <wps:spPr bwMode="auto">
                          <a:xfrm rot="16200000" flipH="1">
                            <a:off x="847912" y="1026403"/>
                            <a:ext cx="76200" cy="719010"/>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47" name="Gebogen verbindingslijn 103"/>
                        <wps:cNvCnPr>
                          <a:cxnSpLocks noChangeShapeType="1"/>
                        </wps:cNvCnPr>
                        <wps:spPr bwMode="auto">
                          <a:xfrm rot="5400000" flipH="1" flipV="1">
                            <a:off x="857912" y="1092403"/>
                            <a:ext cx="56200" cy="718910"/>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48" name="Afgeronde rechthoek 105"/>
                        <wps:cNvSpPr>
                          <a:spLocks noChangeArrowheads="1"/>
                        </wps:cNvSpPr>
                        <wps:spPr bwMode="auto">
                          <a:xfrm>
                            <a:off x="1157415" y="1775710"/>
                            <a:ext cx="1216416" cy="786104"/>
                          </a:xfrm>
                          <a:prstGeom prst="roundRect">
                            <a:avLst>
                              <a:gd name="adj" fmla="val 16667"/>
                            </a:avLst>
                          </a:prstGeom>
                          <a:solidFill>
                            <a:srgbClr val="4F81BD"/>
                          </a:solidFill>
                          <a:ln w="25400">
                            <a:solidFill>
                              <a:srgbClr val="385D8A"/>
                            </a:solidFill>
                            <a:round/>
                            <a:headEnd/>
                            <a:tailEnd/>
                          </a:ln>
                        </wps:spPr>
                        <wps:txbx>
                          <w:txbxContent>
                            <w:p w14:paraId="244DBDB9"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County investigation units</w:t>
                              </w:r>
                            </w:p>
                            <w:p w14:paraId="557416F5" w14:textId="77777777" w:rsidR="00972546" w:rsidRDefault="00972546" w:rsidP="00E76739">
                              <w:pPr>
                                <w:pStyle w:val="NormalWeb"/>
                                <w:spacing w:after="0"/>
                              </w:pPr>
                            </w:p>
                          </w:txbxContent>
                        </wps:txbx>
                        <wps:bodyPr rot="0" vert="horz" wrap="square" lIns="91440" tIns="45720" rIns="91440" bIns="45720" anchor="ctr" anchorCtr="0" upright="1">
                          <a:noAutofit/>
                        </wps:bodyPr>
                      </wps:wsp>
                      <wps:wsp>
                        <wps:cNvPr id="49" name="Rechte verbindingslijn met pijl 113"/>
                        <wps:cNvCnPr>
                          <a:cxnSpLocks noChangeShapeType="1"/>
                        </wps:cNvCnPr>
                        <wps:spPr bwMode="auto">
                          <a:xfrm>
                            <a:off x="1731323" y="1567409"/>
                            <a:ext cx="400" cy="20830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50" name="Afgeronde rechthoek 115"/>
                        <wps:cNvSpPr>
                          <a:spLocks noChangeArrowheads="1"/>
                        </wps:cNvSpPr>
                        <wps:spPr bwMode="auto">
                          <a:xfrm>
                            <a:off x="1101315" y="953905"/>
                            <a:ext cx="1610021" cy="1744610"/>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Afgeronde rechthoek 184"/>
                        <wps:cNvSpPr>
                          <a:spLocks noChangeArrowheads="1"/>
                        </wps:cNvSpPr>
                        <wps:spPr bwMode="auto">
                          <a:xfrm>
                            <a:off x="2662835" y="343302"/>
                            <a:ext cx="970913" cy="532703"/>
                          </a:xfrm>
                          <a:prstGeom prst="roundRect">
                            <a:avLst>
                              <a:gd name="adj" fmla="val 16667"/>
                            </a:avLst>
                          </a:prstGeom>
                          <a:solidFill>
                            <a:srgbClr val="4F81BD"/>
                          </a:solidFill>
                          <a:ln w="25400">
                            <a:solidFill>
                              <a:srgbClr val="385D8A"/>
                            </a:solidFill>
                            <a:round/>
                            <a:headEnd/>
                            <a:tailEnd/>
                          </a:ln>
                        </wps:spPr>
                        <wps:txbx>
                          <w:txbxContent>
                            <w:p w14:paraId="0D39CE6C" w14:textId="77777777" w:rsidR="00972546" w:rsidRDefault="00972546" w:rsidP="00E76739">
                              <w:pPr>
                                <w:pStyle w:val="NormalWeb"/>
                                <w:spacing w:after="0"/>
                                <w:jc w:val="center"/>
                                <w:rPr>
                                  <w:sz w:val="18"/>
                                  <w:szCs w:val="18"/>
                                </w:rPr>
                              </w:pPr>
                              <w:r>
                                <w:rPr>
                                  <w:rFonts w:ascii="Calibri" w:hAnsi="Calibri" w:cs="Calibri"/>
                                  <w:color w:val="FFFFFF"/>
                                  <w:sz w:val="18"/>
                                  <w:szCs w:val="18"/>
                                </w:rPr>
                                <w:t>State Security Department</w:t>
                              </w:r>
                            </w:p>
                          </w:txbxContent>
                        </wps:txbx>
                        <wps:bodyPr rot="0" vert="horz" wrap="square" lIns="91440" tIns="45720" rIns="91440" bIns="45720" anchor="ctr" anchorCtr="0" upright="1">
                          <a:noAutofit/>
                        </wps:bodyPr>
                      </wps:wsp>
                      <wps:wsp>
                        <wps:cNvPr id="52" name="Afgeronde rechthoek 186"/>
                        <wps:cNvSpPr>
                          <a:spLocks noChangeArrowheads="1"/>
                        </wps:cNvSpPr>
                        <wps:spPr bwMode="auto">
                          <a:xfrm>
                            <a:off x="1245317" y="36000"/>
                            <a:ext cx="970313" cy="532103"/>
                          </a:xfrm>
                          <a:prstGeom prst="roundRect">
                            <a:avLst>
                              <a:gd name="adj" fmla="val 16667"/>
                            </a:avLst>
                          </a:prstGeom>
                          <a:solidFill>
                            <a:srgbClr val="4F81BD"/>
                          </a:solidFill>
                          <a:ln w="25400">
                            <a:solidFill>
                              <a:srgbClr val="385D8A"/>
                            </a:solidFill>
                            <a:round/>
                            <a:headEnd/>
                            <a:tailEnd/>
                          </a:ln>
                        </wps:spPr>
                        <wps:txbx>
                          <w:txbxContent>
                            <w:p w14:paraId="7EE1B8D7" w14:textId="77777777" w:rsidR="00972546" w:rsidRDefault="00972546" w:rsidP="00E76739">
                              <w:pPr>
                                <w:pStyle w:val="NormalWeb"/>
                                <w:spacing w:after="0"/>
                                <w:jc w:val="center"/>
                              </w:pPr>
                              <w:r>
                                <w:rPr>
                                  <w:rFonts w:ascii="Calibri" w:hAnsi="Calibri" w:cs="Calibri"/>
                                  <w:color w:val="FFFFFF"/>
                                  <w:sz w:val="18"/>
                                  <w:szCs w:val="18"/>
                                </w:rPr>
                                <w:t>Tax Inspectorate</w:t>
                              </w:r>
                            </w:p>
                          </w:txbxContent>
                        </wps:txbx>
                        <wps:bodyPr rot="0" vert="horz" wrap="square" lIns="91440" tIns="45720" rIns="91440" bIns="45720" anchor="ctr" anchorCtr="0" upright="1">
                          <a:noAutofit/>
                        </wps:bodyPr>
                      </wps:wsp>
                      <wps:wsp>
                        <wps:cNvPr id="53" name="Gebogen verbindingslijn 118"/>
                        <wps:cNvCnPr>
                          <a:cxnSpLocks noChangeShapeType="1"/>
                        </wps:cNvCnPr>
                        <wps:spPr bwMode="auto">
                          <a:xfrm flipV="1">
                            <a:off x="1731623" y="690804"/>
                            <a:ext cx="930912" cy="262901"/>
                          </a:xfrm>
                          <a:prstGeom prst="bentConnector3">
                            <a:avLst>
                              <a:gd name="adj1" fmla="val -2111"/>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54" name="Rechte verbindingslijn met pijl 120"/>
                        <wps:cNvCnPr>
                          <a:cxnSpLocks noChangeShapeType="1"/>
                        </wps:cNvCnPr>
                        <wps:spPr bwMode="auto">
                          <a:xfrm flipV="1">
                            <a:off x="1518520" y="572603"/>
                            <a:ext cx="0" cy="380802"/>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55" name="Tekstvak 121"/>
                        <wps:cNvSpPr txBox="1">
                          <a:spLocks noChangeArrowheads="1"/>
                        </wps:cNvSpPr>
                        <wps:spPr bwMode="auto">
                          <a:xfrm>
                            <a:off x="2262530" y="985305"/>
                            <a:ext cx="652009" cy="63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131909" w14:textId="77777777" w:rsidR="00972546" w:rsidRDefault="00972546" w:rsidP="00E76739">
                              <w:r>
                                <w:t>FCIS</w:t>
                              </w:r>
                            </w:p>
                          </w:txbxContent>
                        </wps:txbx>
                        <wps:bodyPr rot="0" vert="horz" wrap="square" lIns="91440" tIns="45720" rIns="91440" bIns="45720" anchor="t" anchorCtr="0" upright="1">
                          <a:noAutofit/>
                        </wps:bodyPr>
                      </wps:wsp>
                      <wps:wsp>
                        <wps:cNvPr id="56" name="Rechte verbindingslijn met pijl 124"/>
                        <wps:cNvCnPr>
                          <a:cxnSpLocks noChangeShapeType="1"/>
                        </wps:cNvCnPr>
                        <wps:spPr bwMode="auto">
                          <a:xfrm>
                            <a:off x="3400245" y="875705"/>
                            <a:ext cx="100" cy="542103"/>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57" name="Afgeronde rechthoek 193"/>
                        <wps:cNvSpPr>
                          <a:spLocks noChangeArrowheads="1"/>
                        </wps:cNvSpPr>
                        <wps:spPr bwMode="auto">
                          <a:xfrm>
                            <a:off x="4298757" y="1414708"/>
                            <a:ext cx="970313" cy="532803"/>
                          </a:xfrm>
                          <a:prstGeom prst="roundRect">
                            <a:avLst>
                              <a:gd name="adj" fmla="val 16667"/>
                            </a:avLst>
                          </a:prstGeom>
                          <a:solidFill>
                            <a:srgbClr val="4F81BD"/>
                          </a:solidFill>
                          <a:ln w="25400">
                            <a:solidFill>
                              <a:srgbClr val="385D8A"/>
                            </a:solidFill>
                            <a:round/>
                            <a:headEnd/>
                            <a:tailEnd/>
                          </a:ln>
                        </wps:spPr>
                        <wps:txbx>
                          <w:txbxContent>
                            <w:p w14:paraId="65A0BBEF" w14:textId="77777777" w:rsidR="00972546" w:rsidRDefault="00972546" w:rsidP="00E76739">
                              <w:pPr>
                                <w:pStyle w:val="NormalWeb"/>
                                <w:spacing w:after="0"/>
                                <w:jc w:val="center"/>
                              </w:pPr>
                              <w:r>
                                <w:rPr>
                                  <w:rFonts w:ascii="Calibri" w:hAnsi="Calibri" w:cs="Calibri"/>
                                  <w:color w:val="FFFFFF"/>
                                  <w:sz w:val="22"/>
                                  <w:szCs w:val="22"/>
                                </w:rPr>
                                <w:t>Court</w:t>
                              </w:r>
                            </w:p>
                          </w:txbxContent>
                        </wps:txbx>
                        <wps:bodyPr rot="0" vert="horz" wrap="square" lIns="91440" tIns="45720" rIns="91440" bIns="45720" anchor="ctr" anchorCtr="0" upright="1">
                          <a:noAutofit/>
                        </wps:bodyPr>
                      </wps:wsp>
                      <wps:wsp>
                        <wps:cNvPr id="58" name="Rechte verbindingslijn met pijl 194"/>
                        <wps:cNvCnPr>
                          <a:cxnSpLocks noChangeShapeType="1"/>
                        </wps:cNvCnPr>
                        <wps:spPr bwMode="auto">
                          <a:xfrm flipV="1">
                            <a:off x="3869551" y="1677609"/>
                            <a:ext cx="429206"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59" name="Rechte verbindingslijn met pijl 125"/>
                        <wps:cNvCnPr>
                          <a:cxnSpLocks noChangeShapeType="1"/>
                        </wps:cNvCnPr>
                        <wps:spPr bwMode="auto">
                          <a:xfrm>
                            <a:off x="2711336" y="1684209"/>
                            <a:ext cx="203203" cy="30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60" name="Rechte verbindingslijn met pijl 154"/>
                        <wps:cNvCnPr>
                          <a:cxnSpLocks noChangeShapeType="1"/>
                        </wps:cNvCnPr>
                        <wps:spPr bwMode="auto">
                          <a:xfrm>
                            <a:off x="1636522" y="572503"/>
                            <a:ext cx="0" cy="461303"/>
                          </a:xfrm>
                          <a:prstGeom prst="straightConnector1">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61" name="Rechte verbindingslijn met pijl 155"/>
                        <wps:cNvCnPr>
                          <a:cxnSpLocks noChangeShapeType="1"/>
                        </wps:cNvCnPr>
                        <wps:spPr bwMode="auto">
                          <a:xfrm flipV="1">
                            <a:off x="2002827" y="1567009"/>
                            <a:ext cx="0" cy="208201"/>
                          </a:xfrm>
                          <a:prstGeom prst="straightConnector1">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62" name="Tekstvak 29"/>
                        <wps:cNvSpPr txBox="1">
                          <a:spLocks noChangeArrowheads="1"/>
                        </wps:cNvSpPr>
                        <wps:spPr bwMode="auto">
                          <a:xfrm>
                            <a:off x="2002627" y="1566709"/>
                            <a:ext cx="838211" cy="27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C70D17"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wps:txbx>
                        <wps:bodyPr rot="0" vert="horz" wrap="square" lIns="91440" tIns="45720" rIns="91440" bIns="45720" anchor="t" anchorCtr="0" upright="1">
                          <a:noAutofit/>
                        </wps:bodyPr>
                      </wps:wsp>
                    </wpc:wpc>
                  </a:graphicData>
                </a:graphic>
              </wp:inline>
            </w:drawing>
          </mc:Choice>
          <mc:Fallback>
            <w:pict>
              <v:group id="Papier 116" o:spid="_x0000_s1113" style="width:415.1pt;height:212.45pt;mso-position-horizontal-relative:char;mso-position-vertical-relative:line" coordsize="5271770,2698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ohAXgIAABGRAAADgAAAGRycy9lMm9Eb2MueG1s7Fxdk5tGFn1P1f4HindZdNPdgMpyakYaJany&#10;JqnYyTsCJGEjUIAZjXdr/3tOdwOCGX2tx9JOtnC5ZmAkmm76fpxz7pXefv+4ToyHKC/iLB2b5I1l&#10;GlEaZGGcLsfm7x9nA9c0itJPQz/J0mhsfokK8/t3//ju7XYzimi2ypIwyg0Mkhaj7WZsrspyMxoO&#10;i2AVrf3iTbaJUry4yPK1X+I0Xw7D3N9i9HUypJYlhtssDzd5FkRFgb9O9YvmOzX+YhEF5S+LRRGV&#10;RjI2MbdS/czVz7n8OXz31h8tc3+zioNqGv5XzGLtxylu2gw19UvfuM/jZ0Ot4yDPimxRvgmy9TBb&#10;LOIgUmvAaoj1ZDUTP33wC7WYAE+nniCOvuG486Wcd5rN4iTB0xhi9JH8m/y9xf5E+ON2g90pNs0+&#10;FS+7/4eVv4nUsopR8PPDr7kRh2OTEtNI/TWM5GaxjPIsDSMjj4JVucqiz4bnyL2SE8EVHza/5nLW&#10;xeZ9FnwujDSbrPx0Gd3kebZdRX6ICRL5fqymdYE8KXCpMd/+MwtxI/++zNS2PS7ytRwQG2I8jk1b&#10;WBas5cvYdAljFtdmEj2WRoBXPZdYxDaNAK9z22aWrW7lj+pRNnlR/hBla0MejM08u0/D32CK6lb+&#10;w/uiVKYSVsv1w0+msVgnMLwHPzGIEEItduiPqjfjqB5TLTtL4lDulzrJl/NJkhu4dGyymUtup9V0&#10;ivbbktTY4hlzhoUdH8N2+dS92TeGWgieqj+Sz/guDdVx6ceJPsY0k7R66PI56/0qH+ePaoNtJgeV&#10;mzDPwi/YhjzT/oj4gYNVlv/LNLbwxbFZ/Hnv55FpJD+l2EpPbgKcV50w7lCc5O1X5u1X/DTAUGMz&#10;KHPT0CeTUrv8/SaPlyvci6hnkGY3MIBFXNaWoudVrQAGfy3Lp0ct360f21UtnzDXopa6tz/qTV/6&#10;8AtMX4WQ3vThdlVEroI+Y0dN37ui6RPKOCeOCvvEQli3hLx7y/gdIvq4/xVxXz3H3vifGz8/ZvwE&#10;mbrKl1cI/BRJltuetn5GHPdZ6O+t/+tQTwNce9SjwXgd+kVt/T9E82wZpZJHzuNUcsciiT+lBrFo&#10;ywMmqQb9wWP64QnuV4Ti45cNIH0H9utLZOQ5DPs1CiUCbFKB/kUSb36sEWLFB1zmeAQgDYAfcxIV&#10;4t9lBkderQmBQzwQOTltoOEDhGAepeUkS1NQgiynCooqoK8vaiP9hpZJZC0BvMcpVxd0wH3R4QA3&#10;zt3tbTWDztvWcQmyncRr8Bq9WpXf9pi1UaqH6Us+BUw+NtdRCDQegePLIz1RifXVM6gIjQSJivP+&#10;27O8O/fOZQNGxd2AWWE4uJlN2EDMiMOn9nQymZL/yGUQNlrFYRilks3U/Juw8+hlpQRo5tww8OaR&#10;Dbujqw3BFOvfatKKH+6oivZQuTppM9cjAAyoQ1Pfw66gSGYFni7qCpIidj3BkD7xx1Of4C2f8Ogz&#10;n+Btn3C93id6n4BUt0/m2i8HMSiHh+UgokWZyh8+XFgPIoQ7jACtyQTgONzR1rxLAIQSwQgSmtSE&#10;HFcQS2kdh1NArwlVmlAjbvToqIuOAMW1+UM5XJXRM3C0hqi9iT9BLwQnRcq6bGqQmb4CQ8SxiU2h&#10;f0pn4MJhlmLpO2eQEqNyBMhHtqUB2UEsVJS5LzW5Bg9pae5cPAS0xU8JmlAMvVtlZ/DHDiA6Kmj2&#10;GOiqGAjbeCzeI/rujPzy8R4CfxXvPbDipxUA6ECWJesVMtwThzGcV6D4AOT/5vG+gbk1MzhH2qfM&#10;nol6pud7wmuG+51VdHjQTP2rtqX1tq/mBX29omLu/GiljrhNnecaupUQ1LU1NLOZbWvJYJeMPMfy&#10;dqItdfpi3ZnFukZ674FZB5jxo8U64jZi9xWMX5Ys7KpkoWvWCNUd2wdU01mK2xRFjSsnqVbUBfLq&#10;iFSvuVCNYnOFNXrb79o+jOmETkUaQgf7v5ROtU+PkrREVLREeJarGXjLGWwkAviuhGxUUKi0x52h&#10;I9LaO5FWOtiy1bqBXLjr3RhQQupx9/duPMNt5yi6BwlMr+i+UkWXN3Xtk/Qd3Sw7ZnNVj+HE5bKX&#10;Bh6Bphqh08POYyoWb6MUqFHVYTnrhSz+RT7Qk3hZ05Dyz/++kMGbivbH6HNRPvifDUijLfuWzN0o&#10;H28z9NFppedSPXwUQZ7b2ro9F0dPuvgETB/KlcoHwj5Dse008GlKfLBUJ5NEE+nhNq+zVHYYnv3X&#10;3FlHjar6B1hq3VJvMBOuM2ALxgdgYe7AIt6tJyzmsemsW/17H6fRy6t/sk4p7JNyoKpu7RVBzs+m&#10;avub4qWcfl1WrH/vKy82nZCscYmrAMzyb9IHyZuOgNNJs60xXChptjRv2Q0GrqVSpYv6z9NgInt1&#10;VCTh7DTN6pNlX/WXDe+8qfrva3gnXrusc2nFm1FP2rUu6jDCEK9l1t6BQUTwtpbg9lrCeToaa1qY&#10;rhLqg79N0ztv6vsng713hWC/t8fFdoWHnmDtFcJxxLNSJ/Uo2oRV6K8hxYEKUB/1+6ivov75hX20&#10;+l1cGWiBHOqglcCGNcuipnAZfWrt1LLxX1u7rbuTLyYJ9IV99THH/4PmRhScz+1kgWp2TYMn4P2c&#10;6r5eCGD8gACG6r59Cu5cPrrPZqorUzHPbheLVCGmfrHSHwEMcaShWy+MvR5hTDQl85NoBxraxZ1g&#10;L9qBHkZdWnEANHZJeQwz2XGAiuOirQsfVpYvXSz6nyEI9/5Qf+a8JTQ2kpT+dDD255XWR0RTRW+E&#10;Ytp0HFSV8yvpxLB6sbN6mP0Tq3dtF1U9jXqow8WpWkjeC8UyMhwwxV4ollHzhFfuhOJGA7qKevAN&#10;hGIUotR3VajkUH2xhvw2jPY5jttf//HuLwAAAP//AwBQSwMEFAAGAAgAAAAhAJtfJS3dAAAABQEA&#10;AA8AAABkcnMvZG93bnJldi54bWxMj0FrwkAQhe+F/odlCt7qJtEWm2YjIrYnEaqF0tuYHZNgdjZk&#10;1yT++269tJeBx3u89022HE0jeupcbVlBPI1AEBdW11wq+Dy8PS5AOI+ssbFMCq7kYJnf32WYajvw&#10;B/V7X4pQwi5FBZX3bSqlKyoy6Ka2JQ7eyXYGfZBdKXWHQyg3jUyi6FkarDksVNjSuqLivL8YBe8D&#10;DqtZvOm359P6+n142n1tY1Jq8jCuXkF4Gv1fGH7xAzrkgeloL6ydaBSER/ztBm8xixIQRwXzZP4C&#10;Ms/kf/r8BwAA//8DAFBLAQItABQABgAIAAAAIQDkmcPA+wAAAOEBAAATAAAAAAAAAAAAAAAAAAAA&#10;AABbQ29udGVudF9UeXBlc10ueG1sUEsBAi0AFAAGAAgAAAAhACOyauHXAAAAlAEAAAsAAAAAAAAA&#10;AAAAAAAALAEAAF9yZWxzLy5yZWxzUEsBAi0AFAAGAAgAAAAhAFZ6IQF4CAAARkQAAA4AAAAAAAAA&#10;AAAAAAAALAIAAGRycy9lMm9Eb2MueG1sUEsBAi0AFAAGAAgAAAAhAJtfJS3dAAAABQEAAA8AAAAA&#10;AAAAAAAAAAAA0AoAAGRycy9kb3ducmV2LnhtbFBLBQYAAAAABAAEAPMAAADaCwAAAAA=&#10;">
                <v:shape id="_x0000_s1114" type="#_x0000_t75" style="position:absolute;width:5271770;height:2698115;visibility:visible;mso-wrap-style:square">
                  <v:fill o:detectmouseclick="t"/>
                  <v:path o:connecttype="none"/>
                </v:shape>
                <v:roundrect id="Afgeronde rechthoek 97" o:spid="_x0000_s1115" style="position:absolute;left:36000;top:814405;width:981013;height:53340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LmLwwAA&#10;ANsAAAAPAAAAZHJzL2Rvd25yZXYueG1sRI/NqsIwFIT3F3yHcAQ3F031gmg1ShEEF17En427Y3Ns&#10;q81JaaLWtzeC4HKYmW+Y6bwxpbhT7QrLCvq9CARxanXBmYLDftkdgXAeWWNpmRQ8ycF81vqZYqzt&#10;g7d03/lMBAi7GBXk3lexlC7NyaDr2Yo4eGdbG/RB1pnUNT4C3JRyEEVDabDgsJBjRYuc0uvuZhT8&#10;I48LnxxXa/mb7C/LP7lJT2elOu0mmYDw1Phv+NNeaQWDPry/hB8gZ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MLmLwwAAANsAAAAPAAAAAAAAAAAAAAAAAJcCAABkcnMvZG93&#10;bnJldi54bWxQSwUGAAAAAAQABAD1AAAAhwMAAAAA&#10;" fillcolor="#4f81bd" strokecolor="#385d8a" strokeweight="2pt">
                  <v:textbox>
                    <w:txbxContent>
                      <w:p w14:paraId="7AA4E43D" w14:textId="15780A8A" w:rsidR="00972546" w:rsidRDefault="00972546" w:rsidP="00E76739">
                        <w:pPr>
                          <w:jc w:val="center"/>
                          <w:rPr>
                            <w:color w:val="FFFFFF"/>
                          </w:rPr>
                        </w:pPr>
                        <w:r>
                          <w:rPr>
                            <w:color w:val="FFFFFF"/>
                          </w:rPr>
                          <w:t>Supervised Entities</w:t>
                        </w:r>
                      </w:p>
                    </w:txbxContent>
                  </v:textbox>
                </v:roundrect>
                <v:roundrect id="Afgeronde rechthoek 98" o:spid="_x0000_s1116" style="position:absolute;left:36000;top:1480208;width:981013;height:53340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4if8xQAA&#10;ANsAAAAPAAAAZHJzL2Rvd25yZXYueG1sRI9Ba8JAFITvQv/D8gq9iG6MIDV1DUEIeKgUEy/eXrPP&#10;JG32bchuTfrvu4VCj8PMfMPs0sl04k6Day0rWC0jEMSV1S3XCi5lvngG4Tyyxs4yKfgmB+n+YbbD&#10;RNuRz3QvfC0ChF2CChrv+0RKVzVk0C1tTxy8mx0M+iCHWuoBxwA3nYyjaCMNthwWGuzp0FD1WXwZ&#10;BSfkbeuz6/FVzrPyI1/Lt+r9ptTT45S9gPA0+f/wX/uoFcQx/H4JP0D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iJ/zFAAAA2wAAAA8AAAAAAAAAAAAAAAAAlwIAAGRycy9k&#10;b3ducmV2LnhtbFBLBQYAAAAABAAEAPUAAACJAwAAAAA=&#10;" fillcolor="#4f81bd" strokecolor="#385d8a" strokeweight="2pt">
                  <v:textbox>
                    <w:txbxContent>
                      <w:p w14:paraId="5B8E8477"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v:textbox>
                </v:roundrect>
                <v:roundrect id="Afgeronde rechthoek 99" o:spid="_x0000_s1117" style="position:absolute;left:1245517;top:1034006;width:971613;height:53340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P+zxQAA&#10;ANsAAAAPAAAAZHJzL2Rvd25yZXYueG1sRI9Ba8JAFITvBf/D8oRexGzaStHoKqEgeKgUTS/entln&#10;Es2+Ddltkv57tyD0OMzMN8xqM5hadNS6yrKClygGQZxbXXGh4DvbTucgnEfWWFsmBb/kYLMePa0w&#10;0bbnA3VHX4gAYZeggtL7JpHS5SUZdJFtiIN3sa1BH2RbSN1iH+Cmlq9x/C4NVhwWSmzoo6T8dvwx&#10;CvbIi8qnp92nnKTZdfsmv/LzRann8ZAuQXga/H/40d5pBbMZ/H0JP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Y/7PFAAAA2wAAAA8AAAAAAAAAAAAAAAAAlwIAAGRycy9k&#10;b3ducmV2LnhtbFBLBQYAAAAABAAEAPUAAACJAwAAAAA=&#10;" fillcolor="#4f81bd" strokecolor="#385d8a" strokeweight="2pt">
                  <v:textbox>
                    <w:txbxContent>
                      <w:p w14:paraId="1E5423FE"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v:textbox>
                </v:roundrect>
                <v:roundrect id="Afgeronde rechthoek 100" o:spid="_x0000_s1118" style="position:absolute;left:2914539;top:1417808;width:971613;height:53340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FooxQAA&#10;ANsAAAAPAAAAZHJzL2Rvd25yZXYueG1sRI9Ba8JAFITvQv/D8oReSt1YbanRVYIgeGiRJl68vWaf&#10;SWz2bciuSfrvu0LB4zAz3zCrzWBq0VHrKssKppMIBHFudcWFgmO2e34H4TyyxtoyKfglB5v1w2iF&#10;sbY9f1GX+kIECLsYFZTeN7GULi/JoJvYhjh4Z9sa9EG2hdQt9gFuavkSRW/SYMVhocSGtiXlP+nV&#10;KPhEXlQ+Oe0/5FOSXXYzeci/z0o9jodkCcLT4O/h//ZeK5i/wu1L+AF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UWijFAAAA2wAAAA8AAAAAAAAAAAAAAAAAlwIAAGRycy9k&#10;b3ducmV2LnhtbFBLBQYAAAAABAAEAPUAAACJAwAAAAA=&#10;" fillcolor="#4f81bd" strokecolor="#385d8a" strokeweight="2pt">
                  <v:textbox>
                    <w:txbxContent>
                      <w:p w14:paraId="11224189"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v:textbox>
                </v:roundrect>
                <v:shape id="Gebogen verbindingslijn 102" o:spid="_x0000_s1119" type="#_x0000_t33" style="position:absolute;left:847912;top:1026403;width:76200;height:719010;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KGUcQAAADbAAAADwAAAGRycy9kb3ducmV2LnhtbESPQWvCQBSE7wX/w/IEb3XTEKxE11Aq&#10;FaFQSGzR4yP7TEKyb0N21fjvu4WCx2FmvmHW2Wg6caXBNZYVvMwjEMSl1Q1XCr4PH89LEM4ja+ws&#10;k4I7Ocg2k6c1ptreOKdr4SsRIOxSVFB736dSurImg25ue+Lgne1g0Ac5VFIPeAtw08k4ihbSYMNh&#10;ocae3msq2+JiFPy49rI7Yfupj23xlcTJNn/Nt0rNpuPbCoSn0T/C/+29VpAs4O9L+AFy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soZRxAAAANsAAAAPAAAAAAAAAAAA&#10;AAAAAKECAABkcnMvZG93bnJldi54bWxQSwUGAAAAAAQABAD5AAAAkgMAAAAA&#10;" strokecolor="#4a7ebb">
                  <v:stroke endarrow="open"/>
                </v:shape>
                <v:shape id="Gebogen verbindingslijn 103" o:spid="_x0000_s1120" type="#_x0000_t33" style="position:absolute;left:857912;top:1092403;width:56200;height:718910;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DXMIAAADbAAAADwAAAGRycy9kb3ducmV2LnhtbESPT4vCMBTE74LfITzBm6aK+KdrFBF2&#10;8WhVcI9vm2cbtnkpTazdb78RBI/DzPyGWW87W4mWGm8cK5iMExDEudOGCwWX8+doCcIHZI2VY1Lw&#10;Rx62m35vjal2D86oPYVCRAj7FBWUIdSplD4vyaIfu5o4ejfXWAxRNoXUDT4i3FZymiRzadFwXCix&#10;pn1J+e/pbhXctbkG87XKbq77WWWHSurjd6vUcNDtPkAE6sI7/GoftILZAp5f4g+Qm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pDXMIAAADbAAAADwAAAAAAAAAAAAAA&#10;AAChAgAAZHJzL2Rvd25yZXYueG1sUEsFBgAAAAAEAAQA+QAAAJADAAAAAA==&#10;" strokecolor="#4a7ebb">
                  <v:stroke endarrow="open"/>
                </v:shape>
                <v:roundrect id="Afgeronde rechthoek 105" o:spid="_x0000_s1121" style="position:absolute;left:1157415;top:1775710;width:1216416;height:78610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1fW2wAAA&#10;ANsAAAAPAAAAZHJzL2Rvd25yZXYueG1sRE/LisIwFN0P+A/hCm5EUx+IVqMUQXChDD427q7Nta02&#10;N6WJWv/eLAZmeTjvxaoxpXhR7QrLCgb9CARxanXBmYLzadObgnAeWWNpmRR8yMFq2fpZYKztmw/0&#10;OvpMhBB2MSrIva9iKV2ak0HXtxVx4G62NugDrDOpa3yHcFPKYRRNpMGCQ0OOFa1zSh/Hp1GwR54V&#10;Prlsd7KbnO6bkfxNrzelOu0mmYPw1Ph/8Z97qxWMw9jwJfwAuf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1fW2wAAAANsAAAAPAAAAAAAAAAAAAAAAAJcCAABkcnMvZG93bnJl&#10;di54bWxQSwUGAAAAAAQABAD1AAAAhAMAAAAA&#10;" fillcolor="#4f81bd" strokecolor="#385d8a" strokeweight="2pt">
                  <v:textbox>
                    <w:txbxContent>
                      <w:p w14:paraId="244DBDB9"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County investigation units</w:t>
                        </w:r>
                      </w:p>
                      <w:p w14:paraId="557416F5" w14:textId="77777777" w:rsidR="00972546" w:rsidRDefault="00972546" w:rsidP="00E76739">
                        <w:pPr>
                          <w:pStyle w:val="NormalWeb"/>
                          <w:spacing w:after="0"/>
                        </w:pPr>
                      </w:p>
                    </w:txbxContent>
                  </v:textbox>
                </v:roundrect>
                <v:shape id="Rechte verbindingslijn met pijl 113" o:spid="_x0000_s1122" type="#_x0000_t32" style="position:absolute;left:1731323;top:1567409;width:400;height:20830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5ntMQAAADbAAAADwAAAGRycy9kb3ducmV2LnhtbESPQWvCQBSE74L/YXlCb3VjKdWkriKC&#10;KAQRbRGPj+xrEsy+TbNrkv57Vyh4HGbmG2a+7E0lWmpcaVnBZByBIM6sLjlX8P21eZ2BcB5ZY2WZ&#10;FPyRg+ViOJhjom3HR2pPPhcBwi5BBYX3dSKlywoy6Ma2Jg7ej20M+iCbXOoGuwA3lXyLog9psOSw&#10;UGBN64Ky6+lmFNj4wum2XXF3SH+v+/gQp+epV+pl1K8+QXjq/TP8395pBe8xPL6EH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Xme0xAAAANsAAAAPAAAAAAAAAAAA&#10;AAAAAKECAABkcnMvZG93bnJldi54bWxQSwUGAAAAAAQABAD5AAAAkgMAAAAA&#10;" strokecolor="#4579b8" strokeweight="1.5pt">
                  <v:stroke endarrow="open"/>
                </v:shape>
                <v:roundrect id="Afgeronde rechthoek 115" o:spid="_x0000_s1123" style="position:absolute;left:1101315;top:953905;width:1610021;height:17446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kHowgAA&#10;ANsAAAAPAAAAZHJzL2Rvd25yZXYueG1sRE/Pa8IwFL4P9j+EN9htTXVOpBpL7RjIDkOrB4+P5tkW&#10;m5eSZLb775fDYMeP7/cmn0wv7uR8Z1nBLElBENdWd9woOJ8+XlYgfEDW2FsmBT/kId8+Pmww03bk&#10;I92r0IgYwj5DBW0IQyalr1sy6BM7EEfuap3BEKFrpHY4xnDTy3maLqXBjmNDiwOVLdW36tsoePeL&#10;r9vl83Ap+knuSve6KEfcK/X8NBVrEIGm8C/+c++1gre4Pn6JP0B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GQejCAAAA2wAAAA8AAAAAAAAAAAAAAAAAlwIAAGRycy9kb3du&#10;cmV2LnhtbFBLBQYAAAAABAAEAPUAAACGAwAAAAA=&#10;" filled="f" strokecolor="#243f60" strokeweight="2pt"/>
                <v:roundrect id="Afgeronde rechthoek 184" o:spid="_x0000_s1124" style="position:absolute;left:2662835;top:343302;width:970913;height:53270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sr2xQAA&#10;ANsAAAAPAAAAZHJzL2Rvd25yZXYueG1sRI9Ba8JAFITvBf/D8oReRDeptGh0lVAIeLAUtRdvz+wz&#10;iWbfht2tpv++WxB6HGbmG2a57k0rbuR8Y1lBOklAEJdWN1wp+DoU4xkIH5A1tpZJwQ95WK8GT0vM&#10;tL3zjm77UIkIYZ+hgjqELpPSlzUZ9BPbEUfvbJ3BEKWrpHZ4j3DTypckeZMGG44LNXb0XlN53X8b&#10;BR/I8ybkx81WjvLDpZjKz/J0Vup52OcLEIH68B9+tDdawWsKf1/iD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2yvbFAAAA2wAAAA8AAAAAAAAAAAAAAAAAlwIAAGRycy9k&#10;b3ducmV2LnhtbFBLBQYAAAAABAAEAPUAAACJAwAAAAA=&#10;" fillcolor="#4f81bd" strokecolor="#385d8a" strokeweight="2pt">
                  <v:textbox>
                    <w:txbxContent>
                      <w:p w14:paraId="0D39CE6C" w14:textId="77777777" w:rsidR="00972546" w:rsidRDefault="00972546" w:rsidP="00E76739">
                        <w:pPr>
                          <w:pStyle w:val="NormalWeb"/>
                          <w:spacing w:after="0"/>
                          <w:jc w:val="center"/>
                          <w:rPr>
                            <w:sz w:val="18"/>
                            <w:szCs w:val="18"/>
                          </w:rPr>
                        </w:pPr>
                        <w:r>
                          <w:rPr>
                            <w:rFonts w:ascii="Calibri" w:hAnsi="Calibri" w:cs="Calibri"/>
                            <w:color w:val="FFFFFF"/>
                            <w:sz w:val="18"/>
                            <w:szCs w:val="18"/>
                          </w:rPr>
                          <w:t>State Security Department</w:t>
                        </w:r>
                      </w:p>
                    </w:txbxContent>
                  </v:textbox>
                </v:roundrect>
                <v:roundrect id="Afgeronde rechthoek 186" o:spid="_x0000_s1125" style="position:absolute;left:1245317;top:36000;width:970313;height:53210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FSBxQAA&#10;ANsAAAAPAAAAZHJzL2Rvd25yZXYueG1sRI9Ba8JAFITvBf/D8gQvopumtGh0lVAIeGgpai/entln&#10;Es2+Dburpv++WxB6HGbmG2a57k0rbuR8Y1nB8zQBQVxa3XCl4HtfTGYgfEDW2FomBT/kYb0aPC0x&#10;0/bOW7rtQiUihH2GCuoQukxKX9Zk0E9tRxy9k3UGQ5SuktrhPcJNK9MkeZMGG44LNXb0XlN52V2N&#10;gk/keRPyw+ZDjvP9uXiRX+XxpNRo2OcLEIH68B9+tDdawWsKf1/iD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3kVIHFAAAA2wAAAA8AAAAAAAAAAAAAAAAAlwIAAGRycy9k&#10;b3ducmV2LnhtbFBLBQYAAAAABAAEAPUAAACJAwAAAAA=&#10;" fillcolor="#4f81bd" strokecolor="#385d8a" strokeweight="2pt">
                  <v:textbox>
                    <w:txbxContent>
                      <w:p w14:paraId="7EE1B8D7" w14:textId="77777777" w:rsidR="00972546" w:rsidRDefault="00972546" w:rsidP="00E76739">
                        <w:pPr>
                          <w:pStyle w:val="NormalWeb"/>
                          <w:spacing w:after="0"/>
                          <w:jc w:val="center"/>
                        </w:pPr>
                        <w:r>
                          <w:rPr>
                            <w:rFonts w:ascii="Calibri" w:hAnsi="Calibri" w:cs="Calibri"/>
                            <w:color w:val="FFFFFF"/>
                            <w:sz w:val="18"/>
                            <w:szCs w:val="18"/>
                          </w:rPr>
                          <w:t>Tax Inspectorate</w:t>
                        </w:r>
                      </w:p>
                    </w:txbxContent>
                  </v:textbox>
                </v:roundrect>
                <v:shape id="Gebogen verbindingslijn 118" o:spid="_x0000_s1126" type="#_x0000_t34" style="position:absolute;left:1731623;top:690804;width:930912;height:262901;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QYzsIAAADbAAAADwAAAGRycy9kb3ducmV2LnhtbESP3WoCMRSE74W+QzgF7zRR21K2G6UI&#10;wmJbaG0f4LA5+4ObkyWJ6/r2piB4OczMN0y+GW0nBvKhdaxhMVcgiEtnWq41/P3uZq8gQkQ22Dkm&#10;DRcKsFk/THLMjDvzDw2HWIsE4ZChhibGPpMylA1ZDHPXEyevct5iTNLX0ng8J7jt5FKpF2mx5bTQ&#10;YE/bhsrj4WQ1+NVxgfipKlX0H1/f3R7HJ4daTx/H9zcQkcZ4D9/ahdHwvIL/L+kHyPUV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AQYzsIAAADbAAAADwAAAAAAAAAAAAAA&#10;AAChAgAAZHJzL2Rvd25yZXYueG1sUEsFBgAAAAAEAAQA+QAAAJADAAAAAA==&#10;" adj="-456" strokecolor="#4579b8">
                  <v:stroke endarrow="open"/>
                </v:shape>
                <v:shape id="Rechte verbindingslijn met pijl 120" o:spid="_x0000_s1127" type="#_x0000_t32" style="position:absolute;left:1518520;top:572603;width:0;height:38080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Up+sEAAADbAAAADwAAAGRycy9kb3ducmV2LnhtbESPT4vCMBTE78J+h/CEvWmq+GfpGmVZ&#10;ELxJa70/kmdb2rx0m6jdb28EweMwM79hNrvBtuJGva8dK5hNExDE2pmaSwXFaT/5AuEDssHWMSn4&#10;Jw+77cdog6lxd87olodSRAj7FBVUIXSplF5XZNFPXUccvYvrLYYo+1KaHu8Rbls5T5KVtFhzXKiw&#10;o9+KdJNfrYJ8fTg2eNFXU5z3TWYyT+WfVupzPPx8gwg0hHf41T4YBcsFPL/EHyC3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1Sn6wQAAANsAAAAPAAAAAAAAAAAAAAAA&#10;AKECAABkcnMvZG93bnJldi54bWxQSwUGAAAAAAQABAD5AAAAjwMAAAAA&#10;" strokecolor="#4579b8">
                  <v:stroke endarrow="open"/>
                </v:shape>
                <v:shape id="Tekstvak 121" o:spid="_x0000_s1128" type="#_x0000_t202" style="position:absolute;left:2262530;top:985305;width:652009;height:636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gDXxgAA&#10;ANsAAAAPAAAAZHJzL2Rvd25yZXYueG1sRI9Ba8JAFITvhf6H5RV6azYKKZJmFQlIpehBm0tvr9ln&#10;Esy+TbNrEv313ULB4zAz3zDZajKtGKh3jWUFsygGQVxa3XCloPjcvCxAOI+ssbVMCq7kYLV8fMgw&#10;1XbkAw1HX4kAYZeigtr7LpXSlTUZdJHtiIN3sr1BH2RfSd3jGOCmlfM4fpUGGw4LNXaU11Sejxej&#10;4CPf7PHwPTeLW5u/707r7qf4SpR6fprWbyA8Tf4e/m9vtYIkgb8v4Qf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CgDXxgAAANsAAAAPAAAAAAAAAAAAAAAAAJcCAABkcnMv&#10;ZG93bnJldi54bWxQSwUGAAAAAAQABAD1AAAAigMAAAAA&#10;" filled="f" stroked="f" strokeweight=".5pt">
                  <v:textbox>
                    <w:txbxContent>
                      <w:p w14:paraId="3A131909" w14:textId="77777777" w:rsidR="00972546" w:rsidRDefault="00972546" w:rsidP="00E76739">
                        <w:r>
                          <w:t>FCIS</w:t>
                        </w:r>
                      </w:p>
                    </w:txbxContent>
                  </v:textbox>
                </v:shape>
                <v:shape id="Rechte verbindingslijn met pijl 124" o:spid="_x0000_s1129" type="#_x0000_t32" style="position:absolute;left:3400245;top:875705;width:100;height:54210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85ysMAAADbAAAADwAAAGRycy9kb3ducmV2LnhtbESPQWsCMRSE7wX/Q3iCN00Ua+vWKNpF&#10;EDxppefH5rnZunlZNqmu/74RhB6HmfmGWaw6V4srtaHyrGE8UiCIC28qLjWcvrbDdxAhIhusPZOG&#10;OwVYLXsvC8yMv/GBrsdYigThkKEGG2OTSRkKSw7DyDfEyTv71mFMsi2lafGW4K6WE6Vm0mHFacFi&#10;Q5+Wisvx12nYdWr6/bMtVGPvb3N5OeX5Zp9rPeh36w8Qkbr4H362d0bD6wweX9IPkM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OcrDAAAA2wAAAA8AAAAAAAAAAAAA&#10;AAAAoQIAAGRycy9kb3ducmV2LnhtbFBLBQYAAAAABAAEAPkAAACRAwAAAAA=&#10;" strokecolor="#4579b8">
                  <v:stroke endarrow="open"/>
                </v:shape>
                <v:roundrect id="Afgeronde rechthoek 193" o:spid="_x0000_s1130" style="position:absolute;left:4298757;top:1414708;width:970313;height:53280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cZxQAA&#10;ANsAAAAPAAAAZHJzL2Rvd25yZXYueG1sRI9Ba8JAFITvQv/D8oReSt1Ysa3RVYIgeGiRJl68vWaf&#10;SWz2bciuSfrvu0LB4zAz3zCrzWBq0VHrKssKppMIBHFudcWFgmO2e34H4TyyxtoyKfglB5v1w2iF&#10;sbY9f1GX+kIECLsYFZTeN7GULi/JoJvYhjh4Z9sa9EG2hdQt9gFuavkSRa/SYMVhocSGtiXlP+nV&#10;KPhEXlQ+Oe0/5FOSXXYzeci/z0o9jodkCcLT4O/h//ZeK5i/we1L+AF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T9xnFAAAA2wAAAA8AAAAAAAAAAAAAAAAAlwIAAGRycy9k&#10;b3ducmV2LnhtbFBLBQYAAAAABAAEAPUAAACJAwAAAAA=&#10;" fillcolor="#4f81bd" strokecolor="#385d8a" strokeweight="2pt">
                  <v:textbox>
                    <w:txbxContent>
                      <w:p w14:paraId="65A0BBEF" w14:textId="77777777" w:rsidR="00972546" w:rsidRDefault="00972546" w:rsidP="00E76739">
                        <w:pPr>
                          <w:pStyle w:val="NormalWeb"/>
                          <w:spacing w:after="0"/>
                          <w:jc w:val="center"/>
                        </w:pPr>
                        <w:r>
                          <w:rPr>
                            <w:rFonts w:ascii="Calibri" w:hAnsi="Calibri" w:cs="Calibri"/>
                            <w:color w:val="FFFFFF"/>
                            <w:sz w:val="22"/>
                            <w:szCs w:val="22"/>
                          </w:rPr>
                          <w:t>Court</w:t>
                        </w:r>
                      </w:p>
                    </w:txbxContent>
                  </v:textbox>
                </v:roundrect>
                <v:shape id="Rechte verbindingslijn met pijl 194" o:spid="_x0000_s1131" type="#_x0000_t32" style="position:absolute;left:3869551;top:1677609;width:429206;height: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gj/74AAADbAAAADwAAAGRycy9kb3ducmV2LnhtbERPyWrDMBC9F/IPYgK9NXIDbYNr2ZSA&#10;IbdiN7kP0njB1si15MT9++gQ6PHx9qxY7SiuNPvesYLXXQKCWDvTc6vg/FO+HED4gGxwdEwK/shD&#10;kW+eMkyNu3FF1zq0IoawT1FBF8KUSul1Rxb9zk3EkWvcbDFEOLfSzHiL4XaU+yR5lxZ7jg0dTnTs&#10;SA/1YhXUH6fvARu9mPOlHCpTeWp/tVLP2/XrE0SgNfyLH+6TUfAWx8Yv8QfI/A4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rmCP/vgAAANsAAAAPAAAAAAAAAAAAAAAAAKEC&#10;AABkcnMvZG93bnJldi54bWxQSwUGAAAAAAQABAD5AAAAjAMAAAAA&#10;" strokecolor="#4579b8">
                  <v:stroke endarrow="open"/>
                </v:shape>
                <v:shape id="Rechte verbindingslijn met pijl 125" o:spid="_x0000_s1132" type="#_x0000_t32" style="position:absolute;left:2711336;top:1684209;width:203203;height:3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fxacQAAADbAAAADwAAAGRycy9kb3ducmV2LnhtbESPQWvCQBSE74L/YXlCb3VjodWkriKC&#10;KAQRbRGPj+xrEsy+TbNrkv57Vyh4HGbmG2a+7E0lWmpcaVnBZByBIM6sLjlX8P21eZ2BcB5ZY2WZ&#10;FPyRg+ViOJhjom3HR2pPPhcBwi5BBYX3dSKlywoy6Ma2Jg7ej20M+iCbXOoGuwA3lXyLog9psOSw&#10;UGBN64Ky6+lmFNj4wum2XXF3SH+v+/gQp+epV+pl1K8+QXjq/TP8395pBe8xPL6EH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h/FpxAAAANsAAAAPAAAAAAAAAAAA&#10;AAAAAKECAABkcnMvZG93bnJldi54bWxQSwUGAAAAAAQABAD5AAAAkgMAAAAA&#10;" strokecolor="#4579b8" strokeweight="1.5pt">
                  <v:stroke endarrow="open"/>
                </v:shape>
                <v:shape id="Rechte verbindingslijn met pijl 154" o:spid="_x0000_s1133" type="#_x0000_t32" style="position:absolute;left:1636522;top:572503;width:0;height:46130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iXQsIAAADbAAAADwAAAGRycy9kb3ducmV2LnhtbERPTYvCMBC9C/6HMAteZE0VFKlGWQXB&#10;gwe3WmRvYzPblm0mpYm2+uvNYcHj430v152pxJ0aV1pWMB5FIIgzq0vOFZxPu885COeRNVaWScGD&#10;HKxX/d4SY21b/qZ74nMRQtjFqKDwvo6ldFlBBt3I1sSB+7WNQR9gk0vdYBvCTSUnUTSTBksODQXW&#10;tC0o+0tuRsHxeRgPb9fH0P+kySaZplx27UWpwUf3tQDhqfNv8b97rxXMwvrwJfwAuX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IiXQsIAAADbAAAADwAAAAAAAAAAAAAA&#10;AAChAgAAZHJzL2Rvd25yZXYueG1sUEsFBgAAAAAEAAQA+QAAAJADAAAAAA==&#10;" strokecolor="red">
                  <v:stroke dashstyle="dash" endarrow="open"/>
                </v:shape>
                <v:shape id="Rechte verbindingslijn met pijl 155" o:spid="_x0000_s1134" type="#_x0000_t32" style="position:absolute;left:2002827;top:1567009;width:0;height:20820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2ssMAAADbAAAADwAAAGRycy9kb3ducmV2LnhtbESPQWsCMRSE7wX/Q3iCt5pVyyqrUUTQ&#10;tgcPq/6Ax+a5Wdy8LEnUbX99Uyj0OMzMN8xq09tWPMiHxrGCyTgDQVw53XCt4HLevy5AhIissXVM&#10;Cr4owGY9eFlhod2TS3qcYi0ShEOBCkyMXSFlqAxZDGPXESfv6rzFmKSvpfb4THDbymmW5dJiw2nB&#10;YEc7Q9XtdLcKrt688fd7XeZ6fpzNzKc+5O1RqdGw3y5BROrjf/iv/aEV5BP4/ZJ+gF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gNtrLDAAAA2wAAAA8AAAAAAAAAAAAA&#10;AAAAoQIAAGRycy9kb3ducmV2LnhtbFBLBQYAAAAABAAEAPkAAACRAwAAAAA=&#10;" strokecolor="red">
                  <v:stroke dashstyle="dash" endarrow="open"/>
                </v:shape>
                <v:shape id="Tekstvak 29" o:spid="_x0000_s1135" type="#_x0000_t202" style="position:absolute;left:2002627;top:1566709;width:838211;height:2756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1IexgAA&#10;ANsAAAAPAAAAZHJzL2Rvd25yZXYueG1sRI9Ba8JAFITvhf6H5RV6azYGKpJmDSEglVIP2lx6e80+&#10;k2D2bZpdNe2vdwXB4zAz3zBZPplenGh0nWUFsygGQVxb3XGjoPpavSxAOI+ssbdMCv7IQb58fMgw&#10;1fbMWzrtfCMChF2KClrvh1RKV7dk0EV2IA7e3o4GfZBjI/WI5wA3vUzieC4NdhwWWhyobKk+7I5G&#10;wUe52uD2JzGL/758/9wXw2/1/arU89NUvIHwNPl7+NZeawXzB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j1IexgAAANsAAAAPAAAAAAAAAAAAAAAAAJcCAABkcnMv&#10;ZG93bnJldi54bWxQSwUGAAAAAAQABAD1AAAAigMAAAAA&#10;" filled="f" stroked="f" strokeweight=".5pt">
                  <v:textbox>
                    <w:txbxContent>
                      <w:p w14:paraId="33C70D17"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v:textbox>
                </v:shape>
                <w10:anchorlock/>
              </v:group>
            </w:pict>
          </mc:Fallback>
        </mc:AlternateContent>
      </w:r>
    </w:p>
    <w:p w14:paraId="07126319" w14:textId="35AF56F5" w:rsidR="00E76739" w:rsidRPr="00E76739" w:rsidRDefault="00E76739" w:rsidP="00E76739">
      <w:pPr>
        <w:spacing w:after="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The blue arrows represent the information that flows from one agency to another (normally that is a report/case unless it is specified that it only concerns a copy) and the red dotted arrows illustrate supervision and </w:t>
      </w:r>
      <w:r w:rsidR="00447004" w:rsidRPr="00E76739">
        <w:rPr>
          <w:rFonts w:ascii="Calibri" w:eastAsia="Times New Roman" w:hAnsi="Calibri" w:cs="Calibri"/>
          <w:i/>
          <w:sz w:val="20"/>
          <w:szCs w:val="20"/>
          <w:lang w:val="en-GB" w:eastAsia="zh-CN"/>
        </w:rPr>
        <w:t>case</w:t>
      </w:r>
      <w:r w:rsidR="00447004">
        <w:rPr>
          <w:rFonts w:ascii="Calibri" w:eastAsia="Times New Roman" w:hAnsi="Calibri" w:cs="Calibri"/>
          <w:i/>
          <w:sz w:val="20"/>
          <w:szCs w:val="20"/>
          <w:lang w:val="en-GB" w:eastAsia="zh-CN"/>
        </w:rPr>
        <w:t>-</w:t>
      </w:r>
      <w:r w:rsidRPr="00E76739">
        <w:rPr>
          <w:rFonts w:ascii="Calibri" w:eastAsia="Times New Roman" w:hAnsi="Calibri" w:cs="Calibri"/>
          <w:i/>
          <w:sz w:val="20"/>
          <w:szCs w:val="20"/>
          <w:lang w:val="en-GB" w:eastAsia="zh-CN"/>
        </w:rPr>
        <w:t xml:space="preserve">specific feedback. We have only looked at feedback directed to the FIU, and therefore this </w:t>
      </w:r>
      <w:r w:rsidR="00B923D3">
        <w:rPr>
          <w:rFonts w:ascii="Calibri" w:eastAsia="Times New Roman" w:hAnsi="Calibri" w:cs="Calibri"/>
          <w:i/>
          <w:sz w:val="20"/>
          <w:szCs w:val="20"/>
          <w:lang w:val="en-GB" w:eastAsia="zh-CN"/>
        </w:rPr>
        <w:t>figure</w:t>
      </w:r>
      <w:r w:rsidRPr="00E76739">
        <w:rPr>
          <w:rFonts w:ascii="Calibri" w:eastAsia="Times New Roman" w:hAnsi="Calibri" w:cs="Calibri"/>
          <w:i/>
          <w:sz w:val="20"/>
          <w:szCs w:val="20"/>
          <w:lang w:val="en-GB" w:eastAsia="zh-CN"/>
        </w:rPr>
        <w:t xml:space="preserve"> excludes all other feedback</w:t>
      </w:r>
      <w:r w:rsidR="00B923D3">
        <w:rPr>
          <w:rFonts w:ascii="Calibri" w:eastAsia="Times New Roman" w:hAnsi="Calibri" w:cs="Calibri"/>
          <w:i/>
          <w:sz w:val="20"/>
          <w:szCs w:val="20"/>
          <w:lang w:val="en-GB" w:eastAsia="zh-CN"/>
        </w:rPr>
        <w:t>,</w:t>
      </w:r>
      <w:r w:rsidRPr="00E76739">
        <w:rPr>
          <w:rFonts w:ascii="Calibri" w:eastAsia="Times New Roman" w:hAnsi="Calibri" w:cs="Calibri"/>
          <w:i/>
          <w:sz w:val="20"/>
          <w:szCs w:val="20"/>
          <w:lang w:val="en-GB" w:eastAsia="zh-CN"/>
        </w:rPr>
        <w:t xml:space="preserve"> i.e. between court and prosecution. </w:t>
      </w:r>
    </w:p>
    <w:p w14:paraId="67705AF2" w14:textId="77777777" w:rsidR="00E76739" w:rsidRPr="00E76739" w:rsidRDefault="00E76739" w:rsidP="00E76739">
      <w:pPr>
        <w:spacing w:after="0" w:line="240" w:lineRule="auto"/>
        <w:jc w:val="both"/>
        <w:rPr>
          <w:rFonts w:ascii="Calibri" w:eastAsia="Calibri" w:hAnsi="Calibri" w:cs="Calibri"/>
          <w:lang w:val="en-GB" w:eastAsia="zh-CN"/>
        </w:rPr>
      </w:pPr>
      <w:bookmarkStart w:id="67" w:name="_Toc341109093"/>
      <w:bookmarkStart w:id="68" w:name="_Toc341266533"/>
      <w:bookmarkStart w:id="69" w:name="_Toc341269288"/>
    </w:p>
    <w:p w14:paraId="5C5DDDD7" w14:textId="77777777" w:rsidR="00E76739" w:rsidRPr="00E76739" w:rsidRDefault="00E76739" w:rsidP="00E76739">
      <w:pPr>
        <w:spacing w:after="0" w:line="240" w:lineRule="auto"/>
        <w:jc w:val="both"/>
        <w:rPr>
          <w:rFonts w:ascii="Calibri" w:eastAsia="Calibri" w:hAnsi="Calibri" w:cs="Calibri"/>
          <w:lang w:val="en-GB" w:eastAsia="zh-CN"/>
        </w:rPr>
      </w:pPr>
    </w:p>
    <w:p w14:paraId="1814587A"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.5.17</w:t>
      </w:r>
      <w:r w:rsidR="00E76739" w:rsidRPr="00E76739">
        <w:rPr>
          <w:rFonts w:ascii="Calibri" w:eastAsia="SimSun" w:hAnsi="Calibri" w:cs="Times New Roman"/>
          <w:b/>
          <w:bCs/>
          <w:lang w:val="en-GB" w:eastAsia="zh-CN"/>
        </w:rPr>
        <w:tab/>
        <w:t xml:space="preserve"> Luxembourg</w:t>
      </w:r>
      <w:bookmarkEnd w:id="67"/>
      <w:bookmarkEnd w:id="68"/>
      <w:bookmarkEnd w:id="69"/>
    </w:p>
    <w:p w14:paraId="5F92EBDA"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226EF87E" w14:textId="7777777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Prosecutor General (PG) oversees the Prosecutor’s office of Luxembourg (PL) and the Prosecutor’s office of Diekirch (PD). The latter two are district prosecutorial offices. Money laundering and terrorist financing can only be tried by prosecutors of the PL. They have national competence in the entire territory of Luxembourg. The FIU is located within the Economic Crime Department of the PL. </w:t>
      </w:r>
    </w:p>
    <w:p w14:paraId="163FBBA3" w14:textId="77777777" w:rsidR="00E76739" w:rsidRPr="00E76739" w:rsidRDefault="00E76739" w:rsidP="00E76739">
      <w:pPr>
        <w:spacing w:after="240" w:line="240" w:lineRule="auto"/>
        <w:jc w:val="both"/>
        <w:rPr>
          <w:rFonts w:ascii="Calibri" w:eastAsia="Calibri" w:hAnsi="Calibri" w:cs="Times New Roman"/>
          <w:bCs/>
          <w:lang w:val="en-GB" w:eastAsia="zh-CN"/>
        </w:rPr>
      </w:pPr>
      <w:r w:rsidRPr="00E76739">
        <w:rPr>
          <w:rFonts w:ascii="Calibri" w:eastAsia="Calibri" w:hAnsi="Calibri" w:cs="Times New Roman"/>
          <w:lang w:val="en-GB" w:eastAsia="zh-CN"/>
        </w:rPr>
        <w:t xml:space="preserve">The FIU receives information from the reporting entities, from other FIUs, from other judicial authorities uncovering money laundering or terrorist financing in the course of their investigations, and from the state agencies (i.e. the secret service). The FIU provides feedback to all these institutions. </w:t>
      </w:r>
      <w:r w:rsidRPr="00E76739">
        <w:rPr>
          <w:rFonts w:ascii="Calibri" w:eastAsia="Calibri" w:hAnsi="Calibri" w:cs="Times New Roman"/>
          <w:bCs/>
          <w:lang w:val="en-GB" w:eastAsia="zh-CN"/>
        </w:rPr>
        <w:t>FIU Luxembourg also employs a liaison officer to the judicial police. The liaison officer helps the FIU find out whether there is police intelligence related to their case in Luxembourg or internationally (via Interpol).</w:t>
      </w:r>
    </w:p>
    <w:p w14:paraId="260E2918" w14:textId="01E78E3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FIU Luxembourg investigates an STR and conducts an intelligence analysis. It thereafter forwards the FIU analysis report to the competent prosecutor. At present, the FIU is not helped in its intelligence operations by any complex IT system. This problem is understood by the authorities and</w:t>
      </w:r>
      <w:r w:rsidR="00447004">
        <w:rPr>
          <w:rFonts w:ascii="Calibri" w:eastAsia="Calibri" w:hAnsi="Calibri" w:cs="Times New Roman"/>
          <w:lang w:val="en-GB" w:eastAsia="zh-CN"/>
        </w:rPr>
        <w:t>,</w:t>
      </w:r>
      <w:r w:rsidRPr="00E76739">
        <w:rPr>
          <w:rFonts w:ascii="Calibri" w:eastAsia="Calibri" w:hAnsi="Calibri" w:cs="Times New Roman"/>
          <w:lang w:val="en-GB" w:eastAsia="zh-CN"/>
        </w:rPr>
        <w:t xml:space="preserve"> according to the Luxembourg representative, a special team has been put in place to develop such an IT platform for the FIU such that they are able to undertake automatic analyses. </w:t>
      </w:r>
    </w:p>
    <w:p w14:paraId="084B3F23" w14:textId="7777777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Luxembourg, the prosecution can be conducted by the prosecution office or by the investigative judge. If the prosecutor decides that in the specific case coercive measures against the suspect must be used, the judicial dossier is forwarded to an investigative judge who will lead the financial investigation further. When an STR reveals information that could also lead to the prosecution of the predicate offence, the FIU can forward all of this information to the other prosecutors of the PL or PD. They will try to prosecute in parallel for the predicate offence. Similarly the other prosecutors will forward cases to the FIU where ML is revealed in the course of the investigation. </w:t>
      </w:r>
    </w:p>
    <w:p w14:paraId="49C1C4C8" w14:textId="22A7BC90" w:rsidR="00E76739" w:rsidRPr="00E76739" w:rsidRDefault="00E76739" w:rsidP="00E76739">
      <w:pPr>
        <w:spacing w:after="0" w:line="240" w:lineRule="auto"/>
        <w:jc w:val="center"/>
        <w:rPr>
          <w:rFonts w:ascii="Calibri" w:eastAsia="SimSun" w:hAnsi="Calibri" w:cs="Times New Roman"/>
          <w:b/>
          <w:lang w:val="en-GB" w:eastAsia="zh-CN"/>
        </w:rPr>
      </w:pPr>
      <w:bookmarkStart w:id="70" w:name="_Toc350517108"/>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A27C62">
        <w:rPr>
          <w:rFonts w:ascii="Calibri" w:eastAsia="SimSun" w:hAnsi="Calibri" w:cs="Times New Roman"/>
          <w:b/>
          <w:lang w:val="en-GB" w:eastAsia="zh-CN"/>
        </w:rPr>
        <w:t>2</w:t>
      </w:r>
      <w:r w:rsidRPr="00E76739">
        <w:rPr>
          <w:rFonts w:ascii="Calibri" w:eastAsia="SimSun" w:hAnsi="Calibri" w:cs="Times New Roman"/>
          <w:b/>
          <w:lang w:val="en-GB" w:eastAsia="zh-CN"/>
        </w:rPr>
        <w:t>1: AML/CTF Information flows in Luxembourg</w:t>
      </w:r>
      <w:bookmarkEnd w:id="70"/>
    </w:p>
    <w:p w14:paraId="29A706CC" w14:textId="77777777" w:rsidR="00E76739" w:rsidRPr="00E76739" w:rsidRDefault="00E76739" w:rsidP="00E76739">
      <w:pPr>
        <w:spacing w:after="0" w:line="240" w:lineRule="auto"/>
        <w:jc w:val="both"/>
        <w:rPr>
          <w:rFonts w:ascii="Calibri" w:eastAsia="SimSun" w:hAnsi="Calibri" w:cs="Times New Roman"/>
          <w:b/>
          <w:lang w:val="en-GB" w:eastAsia="zh-CN"/>
        </w:rPr>
      </w:pPr>
    </w:p>
    <w:p w14:paraId="07BC874C" w14:textId="77777777" w:rsidR="00E76739" w:rsidRPr="00E76739" w:rsidRDefault="00E76739" w:rsidP="00E76739">
      <w:pPr>
        <w:spacing w:after="0" w:line="240" w:lineRule="auto"/>
        <w:jc w:val="both"/>
        <w:rPr>
          <w:rFonts w:ascii="Calibri" w:eastAsia="Calibri" w:hAnsi="Calibri" w:cs="Times New Roman"/>
          <w:b/>
          <w:u w:val="single"/>
          <w:lang w:val="en-GB" w:eastAsia="zh-CN"/>
        </w:rPr>
      </w:pPr>
      <w:r w:rsidRPr="00E76739">
        <w:rPr>
          <w:rFonts w:ascii="Calibri" w:eastAsia="Calibri" w:hAnsi="Calibri" w:cs="Times New Roman"/>
          <w:b/>
          <w:noProof/>
          <w:lang w:val="en-US" w:eastAsia="en-US"/>
        </w:rPr>
        <w:drawing>
          <wp:inline distT="0" distB="0" distL="0" distR="0" wp14:anchorId="5C32C2AA" wp14:editId="2262E786">
            <wp:extent cx="5200650" cy="2743200"/>
            <wp:effectExtent l="0" t="0" r="0" b="0"/>
            <wp:docPr id="34" name="Afbeelding 37" descr="LuxembourgInformationFlow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uxembourgInformationFlows.jpeg"/>
                    <pic:cNvPicPr>
                      <a:picLocks noChangeAspect="1" noChangeArrowheads="1"/>
                    </pic:cNvPicPr>
                  </pic:nvPicPr>
                  <pic:blipFill>
                    <a:blip r:embed="rId21" cstate="print">
                      <a:extLst>
                        <a:ext uri="{28A0092B-C50C-407E-A947-70E740481C1C}">
                          <a14:useLocalDpi xmlns:a14="http://schemas.microsoft.com/office/drawing/2010/main" val="0"/>
                        </a:ext>
                      </a:extLst>
                    </a:blip>
                    <a:srcRect l="1109"/>
                    <a:stretch>
                      <a:fillRect/>
                    </a:stretch>
                  </pic:blipFill>
                  <pic:spPr bwMode="auto">
                    <a:xfrm>
                      <a:off x="0" y="0"/>
                      <a:ext cx="5200650" cy="2743200"/>
                    </a:xfrm>
                    <a:prstGeom prst="rect">
                      <a:avLst/>
                    </a:prstGeom>
                    <a:noFill/>
                    <a:ln>
                      <a:noFill/>
                    </a:ln>
                  </pic:spPr>
                </pic:pic>
              </a:graphicData>
            </a:graphic>
          </wp:inline>
        </w:drawing>
      </w:r>
    </w:p>
    <w:p w14:paraId="669F1126" w14:textId="5F567F25" w:rsidR="00E76739" w:rsidRPr="00E76739" w:rsidRDefault="00E76739" w:rsidP="00E76739">
      <w:pPr>
        <w:spacing w:after="240" w:line="240" w:lineRule="auto"/>
        <w:jc w:val="both"/>
        <w:rPr>
          <w:rFonts w:ascii="Calibri" w:eastAsia="Calibri" w:hAnsi="Calibri" w:cs="Times New Roman"/>
          <w:i/>
          <w:sz w:val="20"/>
          <w:szCs w:val="20"/>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4058EE">
        <w:rPr>
          <w:rFonts w:ascii="Calibri" w:eastAsia="Calibri" w:hAnsi="Calibri" w:cs="Times New Roman"/>
          <w:i/>
          <w:sz w:val="20"/>
          <w:szCs w:val="20"/>
          <w:lang w:val="en-GB" w:eastAsia="zh-CN"/>
        </w:rPr>
        <w:t>both</w:t>
      </w:r>
      <w:r w:rsidR="004058EE"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4058EE" w:rsidRPr="00E76739">
        <w:rPr>
          <w:rFonts w:ascii="Calibri" w:eastAsia="Calibri" w:hAnsi="Calibri" w:cs="Times New Roman"/>
          <w:i/>
          <w:sz w:val="20"/>
          <w:szCs w:val="20"/>
          <w:lang w:val="en-GB" w:eastAsia="zh-CN"/>
        </w:rPr>
        <w:t>speciali</w:t>
      </w:r>
      <w:r w:rsidR="004058EE">
        <w:rPr>
          <w:rFonts w:ascii="Calibri" w:eastAsia="Calibri" w:hAnsi="Calibri" w:cs="Times New Roman"/>
          <w:i/>
          <w:sz w:val="20"/>
          <w:szCs w:val="20"/>
          <w:lang w:val="en-GB" w:eastAsia="zh-CN"/>
        </w:rPr>
        <w:t>z</w:t>
      </w:r>
      <w:r w:rsidR="004058EE"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 xml:space="preserve">in dealing with ML/TF cases. </w:t>
      </w:r>
    </w:p>
    <w:p w14:paraId="7F61D4E3" w14:textId="7397FBE2"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On the matter of feedback, since the FIU is of a judicial nature, it goes without saying that the FIU is well informed on the outcome of its analysis. On the matter of ML </w:t>
      </w:r>
      <w:r w:rsidR="00447004" w:rsidRPr="00E76739">
        <w:rPr>
          <w:rFonts w:ascii="Calibri" w:eastAsia="Calibri" w:hAnsi="Calibri" w:cs="Times New Roman"/>
          <w:lang w:val="en-GB" w:eastAsia="zh-CN"/>
        </w:rPr>
        <w:t>speciali</w:t>
      </w:r>
      <w:r w:rsidR="00447004">
        <w:rPr>
          <w:rFonts w:ascii="Calibri" w:eastAsia="Calibri" w:hAnsi="Calibri" w:cs="Times New Roman"/>
          <w:lang w:val="en-GB" w:eastAsia="zh-CN"/>
        </w:rPr>
        <w:t>z</w:t>
      </w:r>
      <w:r w:rsidR="00447004" w:rsidRPr="00E76739">
        <w:rPr>
          <w:rFonts w:ascii="Calibri" w:eastAsia="Calibri" w:hAnsi="Calibri" w:cs="Times New Roman"/>
          <w:lang w:val="en-GB" w:eastAsia="zh-CN"/>
        </w:rPr>
        <w:t>ation</w:t>
      </w:r>
      <w:r w:rsidRPr="00E76739">
        <w:rPr>
          <w:rFonts w:ascii="Calibri" w:eastAsia="Calibri" w:hAnsi="Calibri" w:cs="Times New Roman"/>
          <w:lang w:val="en-GB" w:eastAsia="zh-CN"/>
        </w:rPr>
        <w:t xml:space="preserve">, the FIU is such a </w:t>
      </w:r>
      <w:r w:rsidR="00447004" w:rsidRPr="00E76739">
        <w:rPr>
          <w:rFonts w:ascii="Calibri" w:eastAsia="Calibri" w:hAnsi="Calibri" w:cs="Times New Roman"/>
          <w:lang w:val="en-GB" w:eastAsia="zh-CN"/>
        </w:rPr>
        <w:t>speciali</w:t>
      </w:r>
      <w:r w:rsidR="00447004">
        <w:rPr>
          <w:rFonts w:ascii="Calibri" w:eastAsia="Calibri" w:hAnsi="Calibri" w:cs="Times New Roman"/>
          <w:lang w:val="en-GB" w:eastAsia="zh-CN"/>
        </w:rPr>
        <w:t>z</w:t>
      </w:r>
      <w:r w:rsidR="00447004"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unit. Furthermore, prosecutors of the </w:t>
      </w:r>
      <w:r w:rsidR="00447004">
        <w:rPr>
          <w:rFonts w:ascii="Calibri" w:eastAsia="Calibri" w:hAnsi="Calibri" w:cs="Times New Roman"/>
          <w:lang w:val="en-GB" w:eastAsia="zh-CN"/>
        </w:rPr>
        <w:t>e</w:t>
      </w:r>
      <w:r w:rsidR="00447004" w:rsidRPr="00E76739">
        <w:rPr>
          <w:rFonts w:ascii="Calibri" w:eastAsia="Calibri" w:hAnsi="Calibri" w:cs="Times New Roman"/>
          <w:lang w:val="en-GB" w:eastAsia="zh-CN"/>
        </w:rPr>
        <w:t xml:space="preserve">conomic </w:t>
      </w:r>
      <w:r w:rsidR="00447004">
        <w:rPr>
          <w:rFonts w:ascii="Calibri" w:eastAsia="Calibri" w:hAnsi="Calibri" w:cs="Times New Roman"/>
          <w:lang w:val="en-GB" w:eastAsia="zh-CN"/>
        </w:rPr>
        <w:t>c</w:t>
      </w:r>
      <w:r w:rsidR="00447004" w:rsidRPr="00E76739">
        <w:rPr>
          <w:rFonts w:ascii="Calibri" w:eastAsia="Calibri" w:hAnsi="Calibri" w:cs="Times New Roman"/>
          <w:lang w:val="en-GB" w:eastAsia="zh-CN"/>
        </w:rPr>
        <w:t xml:space="preserve">rimes </w:t>
      </w:r>
      <w:r w:rsidRPr="00E76739">
        <w:rPr>
          <w:rFonts w:ascii="Calibri" w:eastAsia="Calibri" w:hAnsi="Calibri" w:cs="Times New Roman"/>
          <w:lang w:val="en-GB" w:eastAsia="zh-CN"/>
        </w:rPr>
        <w:t xml:space="preserve">department as well as the investigative judges working together with the FIU are reported to have extensive experience </w:t>
      </w:r>
      <w:r w:rsidR="00447004">
        <w:rPr>
          <w:rFonts w:ascii="Calibri" w:eastAsia="Calibri" w:hAnsi="Calibri" w:cs="Times New Roman"/>
          <w:lang w:val="en-GB" w:eastAsia="zh-CN"/>
        </w:rPr>
        <w:t>of</w:t>
      </w:r>
      <w:r w:rsidR="0044700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prosecuting financial crimes.</w:t>
      </w:r>
    </w:p>
    <w:p w14:paraId="673112DB" w14:textId="57E38893"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Luxembourg, the </w:t>
      </w:r>
      <w:r w:rsidR="00447004">
        <w:rPr>
          <w:rFonts w:ascii="Calibri" w:eastAsia="Calibri" w:hAnsi="Calibri" w:cs="Times New Roman"/>
          <w:lang w:val="en-GB" w:eastAsia="zh-CN"/>
        </w:rPr>
        <w:t>i</w:t>
      </w:r>
      <w:r w:rsidR="00447004" w:rsidRPr="00E76739">
        <w:rPr>
          <w:rFonts w:ascii="Calibri" w:eastAsia="Calibri" w:hAnsi="Calibri" w:cs="Times New Roman"/>
          <w:lang w:val="en-GB" w:eastAsia="zh-CN"/>
        </w:rPr>
        <w:t xml:space="preserve">nvestigative </w:t>
      </w:r>
      <w:r w:rsidR="00447004">
        <w:rPr>
          <w:rFonts w:ascii="Calibri" w:eastAsia="Calibri" w:hAnsi="Calibri" w:cs="Times New Roman"/>
          <w:lang w:val="en-GB" w:eastAsia="zh-CN"/>
        </w:rPr>
        <w:t>j</w:t>
      </w:r>
      <w:r w:rsidR="00447004" w:rsidRPr="00E76739">
        <w:rPr>
          <w:rFonts w:ascii="Calibri" w:eastAsia="Calibri" w:hAnsi="Calibri" w:cs="Times New Roman"/>
          <w:lang w:val="en-GB" w:eastAsia="zh-CN"/>
        </w:rPr>
        <w:t xml:space="preserve">udge </w:t>
      </w:r>
      <w:r w:rsidRPr="00E76739">
        <w:rPr>
          <w:rFonts w:ascii="Calibri" w:eastAsia="Calibri" w:hAnsi="Calibri" w:cs="Times New Roman"/>
          <w:lang w:val="en-GB" w:eastAsia="zh-CN"/>
        </w:rPr>
        <w:t xml:space="preserve">is empowered to make use of special investigative techniques and other coercive measures against the suspect during the investigation. It is therefore the more complex and complicated cases that are transferred to an investigative judge, because in general in the more complicated cases there is a need for coercive measures. If the prosecutor sees no need to use coercive measures, he/she can prosecute the case. In Luxembourg there are approximately three or four investigative judges out of a total complement of </w:t>
      </w:r>
      <w:r w:rsidR="00447004">
        <w:rPr>
          <w:rFonts w:ascii="Calibri" w:eastAsia="Calibri" w:hAnsi="Calibri" w:cs="Times New Roman"/>
          <w:lang w:val="en-GB" w:eastAsia="zh-CN"/>
        </w:rPr>
        <w:t>13</w:t>
      </w:r>
      <w:r w:rsidR="0044700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investigative judges that are de facto </w:t>
      </w:r>
      <w:r w:rsidR="00447004" w:rsidRPr="00E76739">
        <w:rPr>
          <w:rFonts w:ascii="Calibri" w:eastAsia="Calibri" w:hAnsi="Calibri" w:cs="Times New Roman"/>
          <w:lang w:val="en-GB" w:eastAsia="zh-CN"/>
        </w:rPr>
        <w:t>speciali</w:t>
      </w:r>
      <w:r w:rsidR="00447004">
        <w:rPr>
          <w:rFonts w:ascii="Calibri" w:eastAsia="Calibri" w:hAnsi="Calibri" w:cs="Times New Roman"/>
          <w:lang w:val="en-GB" w:eastAsia="zh-CN"/>
        </w:rPr>
        <w:t>z</w:t>
      </w:r>
      <w:r w:rsidR="00447004" w:rsidRPr="00E76739">
        <w:rPr>
          <w:rFonts w:ascii="Calibri" w:eastAsia="Calibri" w:hAnsi="Calibri" w:cs="Times New Roman"/>
          <w:lang w:val="en-GB" w:eastAsia="zh-CN"/>
        </w:rPr>
        <w:t xml:space="preserve">ed </w:t>
      </w:r>
      <w:r w:rsidR="00447004">
        <w:rPr>
          <w:rFonts w:ascii="Calibri" w:eastAsia="Calibri" w:hAnsi="Calibri" w:cs="Times New Roman"/>
          <w:lang w:val="en-GB" w:eastAsia="zh-CN"/>
        </w:rPr>
        <w:t>i</w:t>
      </w:r>
      <w:r w:rsidR="00447004" w:rsidRPr="00E76739">
        <w:rPr>
          <w:rFonts w:ascii="Calibri" w:eastAsia="Calibri" w:hAnsi="Calibri" w:cs="Times New Roman"/>
          <w:lang w:val="en-GB" w:eastAsia="zh-CN"/>
        </w:rPr>
        <w:t xml:space="preserve">n </w:t>
      </w:r>
      <w:r w:rsidRPr="00E76739">
        <w:rPr>
          <w:rFonts w:ascii="Calibri" w:eastAsia="Calibri" w:hAnsi="Calibri" w:cs="Times New Roman"/>
          <w:lang w:val="en-GB" w:eastAsia="zh-CN"/>
        </w:rPr>
        <w:t xml:space="preserve">ML. They are however not assigned by law to deal with ML cases, but receive the ML cases due to their extensive experience in this field. </w:t>
      </w:r>
    </w:p>
    <w:p w14:paraId="60AD4847" w14:textId="1BAE04BF" w:rsidR="00E76739" w:rsidRPr="00E76739" w:rsidRDefault="00E76739" w:rsidP="00E76739">
      <w:pPr>
        <w:spacing w:after="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As was explained to us during the interviews, one of the historical and institutional reasons for the usage of an investigative judge in Luxembourg is that, essentially, the prosecution is not seen as an impartial assessor of the situation in which the suspect is involved. The prosecution and the legal team of the defence are situated at the same level in court and have conflicting interests. The </w:t>
      </w:r>
      <w:r w:rsidR="00662734">
        <w:rPr>
          <w:rFonts w:ascii="Calibri" w:eastAsia="Calibri" w:hAnsi="Calibri" w:cs="Times New Roman"/>
          <w:lang w:val="en-GB" w:eastAsia="zh-CN"/>
        </w:rPr>
        <w:t>j</w:t>
      </w:r>
      <w:r w:rsidR="00662734" w:rsidRPr="00E76739">
        <w:rPr>
          <w:rFonts w:ascii="Calibri" w:eastAsia="Calibri" w:hAnsi="Calibri" w:cs="Times New Roman"/>
          <w:lang w:val="en-GB" w:eastAsia="zh-CN"/>
        </w:rPr>
        <w:t>udge</w:t>
      </w:r>
      <w:r w:rsidR="00662734">
        <w:rPr>
          <w:rFonts w:ascii="Calibri" w:eastAsia="Calibri" w:hAnsi="Calibri" w:cs="Times New Roman"/>
          <w:lang w:val="en-GB" w:eastAsia="zh-CN"/>
        </w:rPr>
        <w:t>,</w:t>
      </w:r>
      <w:r w:rsidR="0066273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however</w:t>
      </w:r>
      <w:r w:rsidR="00662734">
        <w:rPr>
          <w:rFonts w:ascii="Calibri" w:eastAsia="Calibri" w:hAnsi="Calibri" w:cs="Times New Roman"/>
          <w:lang w:val="en-GB" w:eastAsia="zh-CN"/>
        </w:rPr>
        <w:t>,</w:t>
      </w:r>
      <w:r w:rsidRPr="00E76739">
        <w:rPr>
          <w:rFonts w:ascii="Calibri" w:eastAsia="Calibri" w:hAnsi="Calibri" w:cs="Times New Roman"/>
          <w:lang w:val="en-GB" w:eastAsia="zh-CN"/>
        </w:rPr>
        <w:t xml:space="preserve"> has to be fair and impartial and has to investigate solely on the facts and search all elements in favour or disfavour of the suspect. Therefore, while the investigative judge has the power to introduce coercive measures in the course of a pre-trial investigation, he/she is considered to be impartial and independent.</w:t>
      </w:r>
      <w:r w:rsidR="00DA07F4">
        <w:rPr>
          <w:rFonts w:ascii="Calibri" w:eastAsia="Calibri" w:hAnsi="Calibri" w:cs="Times New Roman"/>
          <w:lang w:val="en-GB" w:eastAsia="zh-CN"/>
        </w:rPr>
        <w:t xml:space="preserve"> </w:t>
      </w:r>
      <w:r w:rsidRPr="00E76739">
        <w:rPr>
          <w:rFonts w:ascii="Calibri" w:eastAsia="Calibri" w:hAnsi="Calibri" w:cs="Times New Roman"/>
          <w:lang w:val="en-GB" w:eastAsia="zh-CN"/>
        </w:rPr>
        <w:t>According to the Luxembourg representatives, this means that there is no discussion about abolishing this position in the judiciary.</w:t>
      </w:r>
    </w:p>
    <w:p w14:paraId="72BABB22" w14:textId="77777777" w:rsidR="00E76739" w:rsidRPr="00E76739" w:rsidRDefault="00E76739" w:rsidP="00E76739">
      <w:pPr>
        <w:spacing w:after="0" w:line="240" w:lineRule="auto"/>
        <w:jc w:val="both"/>
        <w:rPr>
          <w:rFonts w:ascii="Calibri" w:eastAsia="SimSun" w:hAnsi="Calibri" w:cs="Times New Roman"/>
          <w:b/>
          <w:bCs/>
          <w:lang w:val="en-GB" w:eastAsia="zh-CN"/>
        </w:rPr>
      </w:pPr>
      <w:bookmarkStart w:id="71" w:name="_Toc341109094"/>
      <w:bookmarkStart w:id="72" w:name="_Toc341266534"/>
      <w:bookmarkStart w:id="73" w:name="_Toc341269289"/>
    </w:p>
    <w:p w14:paraId="00AA0469" w14:textId="77777777" w:rsidR="00E76739" w:rsidRPr="00E76739" w:rsidRDefault="00E76739" w:rsidP="00E76739">
      <w:pPr>
        <w:spacing w:after="0" w:line="240" w:lineRule="auto"/>
        <w:rPr>
          <w:rFonts w:ascii="Calibri" w:eastAsia="SimSun" w:hAnsi="Calibri" w:cs="Times New Roman"/>
          <w:b/>
          <w:bCs/>
          <w:lang w:val="en-GB" w:eastAsia="zh-CN"/>
        </w:rPr>
      </w:pPr>
      <w:r w:rsidRPr="00E76739">
        <w:rPr>
          <w:rFonts w:ascii="Calibri" w:eastAsia="SimSun" w:hAnsi="Calibri" w:cs="Times New Roman"/>
          <w:b/>
          <w:bCs/>
          <w:lang w:val="en-GB" w:eastAsia="zh-CN"/>
        </w:rPr>
        <w:br w:type="page"/>
      </w:r>
    </w:p>
    <w:p w14:paraId="1577E9C4" w14:textId="77777777" w:rsidR="00E76739" w:rsidRPr="00E76739" w:rsidRDefault="00BA07A1" w:rsidP="00E76739">
      <w:pPr>
        <w:spacing w:after="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.5.18</w:t>
      </w:r>
      <w:r w:rsidR="00E76739" w:rsidRPr="00E76739">
        <w:rPr>
          <w:rFonts w:ascii="Calibri" w:eastAsia="SimSun" w:hAnsi="Calibri" w:cs="Times New Roman"/>
          <w:b/>
          <w:bCs/>
          <w:lang w:val="en-GB" w:eastAsia="zh-CN"/>
        </w:rPr>
        <w:tab/>
        <w:t>Malta</w:t>
      </w:r>
      <w:bookmarkEnd w:id="71"/>
      <w:bookmarkEnd w:id="72"/>
      <w:bookmarkEnd w:id="73"/>
    </w:p>
    <w:p w14:paraId="344FD1D5"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75319E3F" w14:textId="604AD6B3" w:rsidR="00E76739" w:rsidRPr="00E76739" w:rsidRDefault="00E76739" w:rsidP="00E76739">
      <w:pPr>
        <w:spacing w:after="0" w:line="240" w:lineRule="auto"/>
        <w:jc w:val="both"/>
        <w:rPr>
          <w:rFonts w:ascii="Calibri" w:eastAsia="Times New Roman" w:hAnsi="Calibri" w:cs="Calibri"/>
          <w:bCs/>
          <w:lang w:val="en-GB" w:eastAsia="zh-CN"/>
        </w:rPr>
      </w:pPr>
      <w:r w:rsidRPr="00E76739">
        <w:rPr>
          <w:rFonts w:ascii="Calibri" w:eastAsia="Times New Roman" w:hAnsi="Calibri" w:cs="Calibri"/>
          <w:bCs/>
          <w:lang w:val="en-GB" w:eastAsia="zh-CN"/>
        </w:rPr>
        <w:t xml:space="preserve">The FIU receives most of its STRs from the reporting entities and after the analysis forwards them to the Money Laundering Unit within the Police. The FIU does not forward any of its reports directly to the </w:t>
      </w:r>
      <w:r w:rsidR="00662734">
        <w:rPr>
          <w:rFonts w:ascii="Calibri" w:eastAsia="Times New Roman" w:hAnsi="Calibri" w:cs="Calibri"/>
          <w:bCs/>
          <w:lang w:val="en-GB" w:eastAsia="zh-CN"/>
        </w:rPr>
        <w:t>Attorney General</w:t>
      </w:r>
      <w:r w:rsidR="005B2529">
        <w:rPr>
          <w:rFonts w:ascii="Calibri" w:eastAsia="Times New Roman" w:hAnsi="Calibri" w:cs="Calibri"/>
          <w:bCs/>
          <w:lang w:val="en-GB" w:eastAsia="zh-CN"/>
        </w:rPr>
        <w:t>’s</w:t>
      </w:r>
      <w:r w:rsidR="00662734">
        <w:rPr>
          <w:rFonts w:ascii="Calibri" w:eastAsia="Times New Roman" w:hAnsi="Calibri" w:cs="Calibri"/>
          <w:bCs/>
          <w:lang w:val="en-GB" w:eastAsia="zh-CN"/>
        </w:rPr>
        <w:t xml:space="preserve"> Office (</w:t>
      </w:r>
      <w:r w:rsidRPr="00E76739">
        <w:rPr>
          <w:rFonts w:ascii="Calibri" w:eastAsia="Times New Roman" w:hAnsi="Calibri" w:cs="Calibri"/>
          <w:bCs/>
          <w:lang w:val="en-GB" w:eastAsia="zh-CN"/>
        </w:rPr>
        <w:t>AGO</w:t>
      </w:r>
      <w:r w:rsidR="00662734">
        <w:rPr>
          <w:rFonts w:ascii="Calibri" w:eastAsia="Times New Roman" w:hAnsi="Calibri" w:cs="Calibri"/>
          <w:bCs/>
          <w:lang w:val="en-GB" w:eastAsia="zh-CN"/>
        </w:rPr>
        <w:t>)</w:t>
      </w:r>
      <w:r w:rsidRPr="00E76739">
        <w:rPr>
          <w:rFonts w:ascii="Calibri" w:eastAsia="Times New Roman" w:hAnsi="Calibri" w:cs="Calibri"/>
          <w:bCs/>
          <w:lang w:val="en-GB" w:eastAsia="zh-CN"/>
        </w:rPr>
        <w:t>, as seen below.</w:t>
      </w:r>
    </w:p>
    <w:p w14:paraId="0B90D27C" w14:textId="77777777" w:rsidR="00E76739" w:rsidRPr="00E76739" w:rsidRDefault="00E76739" w:rsidP="00E76739">
      <w:pPr>
        <w:spacing w:after="0" w:line="240" w:lineRule="auto"/>
        <w:jc w:val="both"/>
        <w:rPr>
          <w:rFonts w:ascii="Calibri" w:eastAsia="Times New Roman" w:hAnsi="Calibri" w:cs="Calibri"/>
          <w:bCs/>
          <w:lang w:val="en-GB" w:eastAsia="zh-CN"/>
        </w:rPr>
      </w:pPr>
    </w:p>
    <w:p w14:paraId="4DE79705" w14:textId="7DF8D47F" w:rsidR="00E76739" w:rsidRPr="00E76739" w:rsidRDefault="00BA07A1" w:rsidP="00E76739">
      <w:pPr>
        <w:spacing w:after="0" w:line="240" w:lineRule="auto"/>
        <w:jc w:val="center"/>
        <w:rPr>
          <w:rFonts w:ascii="Calibri" w:eastAsia="SimSun" w:hAnsi="Calibri" w:cs="Times New Roman"/>
          <w:b/>
          <w:lang w:val="en-GB" w:eastAsia="zh-CN"/>
        </w:rPr>
      </w:pPr>
      <w:bookmarkStart w:id="74" w:name="_Toc350517109"/>
      <w:r>
        <w:rPr>
          <w:rFonts w:ascii="Calibri" w:eastAsia="SimSun" w:hAnsi="Calibri" w:cs="Times New Roman"/>
          <w:b/>
          <w:lang w:val="en-GB" w:eastAsia="zh-CN"/>
        </w:rPr>
        <w:t>Figure 8</w:t>
      </w:r>
      <w:r w:rsidR="00E76739" w:rsidRPr="00E76739">
        <w:rPr>
          <w:rFonts w:ascii="Calibri" w:eastAsia="SimSun" w:hAnsi="Calibri" w:cs="Times New Roman"/>
          <w:b/>
          <w:lang w:val="en-GB" w:eastAsia="zh-CN"/>
        </w:rPr>
        <w:t>.</w:t>
      </w:r>
      <w:r w:rsidR="00420F8F" w:rsidRPr="00E76739">
        <w:rPr>
          <w:rFonts w:ascii="Calibri" w:eastAsia="SimSun" w:hAnsi="Calibri" w:cs="Times New Roman"/>
          <w:b/>
          <w:lang w:val="en-GB" w:eastAsia="zh-CN"/>
        </w:rPr>
        <w:t>2</w:t>
      </w:r>
      <w:r w:rsidR="00420F8F">
        <w:rPr>
          <w:rFonts w:ascii="Calibri" w:eastAsia="SimSun" w:hAnsi="Calibri" w:cs="Times New Roman"/>
          <w:b/>
          <w:lang w:val="en-GB" w:eastAsia="zh-CN"/>
        </w:rPr>
        <w:t>2</w:t>
      </w:r>
      <w:r w:rsidR="00E76739" w:rsidRPr="00E76739">
        <w:rPr>
          <w:rFonts w:ascii="Calibri" w:eastAsia="SimSun" w:hAnsi="Calibri" w:cs="Times New Roman"/>
          <w:b/>
          <w:lang w:val="en-GB" w:eastAsia="zh-CN"/>
        </w:rPr>
        <w:t xml:space="preserve">: AML/CTF Information flow in </w:t>
      </w:r>
      <w:commentRangeStart w:id="75"/>
      <w:r w:rsidR="00E76739" w:rsidRPr="00E76739">
        <w:rPr>
          <w:rFonts w:ascii="Calibri" w:eastAsia="SimSun" w:hAnsi="Calibri" w:cs="Times New Roman"/>
          <w:b/>
          <w:lang w:val="en-GB" w:eastAsia="zh-CN"/>
        </w:rPr>
        <w:t>Malta</w:t>
      </w:r>
      <w:bookmarkEnd w:id="74"/>
      <w:commentRangeEnd w:id="75"/>
      <w:r w:rsidR="005B2529">
        <w:rPr>
          <w:rStyle w:val="CommentReference"/>
        </w:rPr>
        <w:commentReference w:id="75"/>
      </w:r>
    </w:p>
    <w:p w14:paraId="48996897"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404E5786" w14:textId="7EEC217E"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noProof/>
          <w:lang w:val="en-US" w:eastAsia="en-US"/>
        </w:rPr>
        <w:drawing>
          <wp:inline distT="0" distB="0" distL="0" distR="0" wp14:anchorId="4758CB82" wp14:editId="34840D2C">
            <wp:extent cx="5962650" cy="2790825"/>
            <wp:effectExtent l="0" t="0" r="0" b="9525"/>
            <wp:docPr id="35" name="Picture 152" descr="MaltaFlow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altaFlows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2650" cy="2790825"/>
                    </a:xfrm>
                    <a:prstGeom prst="rect">
                      <a:avLst/>
                    </a:prstGeom>
                    <a:noFill/>
                    <a:ln>
                      <a:noFill/>
                    </a:ln>
                  </pic:spPr>
                </pic:pic>
              </a:graphicData>
            </a:graphic>
          </wp:inline>
        </w:drawing>
      </w:r>
      <w:r w:rsidRPr="00E76739">
        <w:rPr>
          <w:rFonts w:ascii="Calibri" w:eastAsia="Times New Roman" w:hAnsi="Calibri" w:cs="Calibri"/>
          <w:i/>
          <w:sz w:val="20"/>
          <w:szCs w:val="20"/>
          <w:lang w:val="en-GB" w:eastAsia="zh-CN"/>
        </w:rPr>
        <w:t>Legend: In the figure above the red arrows show the ML/TF flows of information; blue arrows represent the feedback given and received by the FIU; dotted arrows mark intermediated flows (feedback); the thickness of the arrows reflects the intensity of the information flows –</w:t>
      </w:r>
      <w:r w:rsidR="001D44F7">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in terms of </w:t>
      </w:r>
      <w:r w:rsidR="00D34FA3">
        <w:rPr>
          <w:rFonts w:ascii="Calibri" w:eastAsia="Calibri" w:hAnsi="Calibri" w:cs="Times New Roman"/>
          <w:i/>
          <w:sz w:val="20"/>
          <w:szCs w:val="20"/>
          <w:lang w:val="en-GB" w:eastAsia="zh-CN"/>
        </w:rPr>
        <w:t>both</w:t>
      </w:r>
      <w:r w:rsidR="00D34FA3"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D34FA3" w:rsidRPr="00E76739">
        <w:rPr>
          <w:rFonts w:ascii="Calibri" w:eastAsia="Times New Roman" w:hAnsi="Calibri" w:cs="Calibri"/>
          <w:i/>
          <w:sz w:val="20"/>
          <w:szCs w:val="20"/>
          <w:lang w:val="en-GB" w:eastAsia="zh-CN"/>
        </w:rPr>
        <w:t>speciali</w:t>
      </w:r>
      <w:r w:rsidR="00D34FA3">
        <w:rPr>
          <w:rFonts w:ascii="Calibri" w:eastAsia="Times New Roman" w:hAnsi="Calibri" w:cs="Calibri"/>
          <w:i/>
          <w:sz w:val="20"/>
          <w:szCs w:val="20"/>
          <w:lang w:val="en-GB" w:eastAsia="zh-CN"/>
        </w:rPr>
        <w:t>z</w:t>
      </w:r>
      <w:r w:rsidR="00D34FA3"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in dealing with ML/TF cases.</w:t>
      </w:r>
    </w:p>
    <w:p w14:paraId="18809463" w14:textId="3B777DB5"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The pre-trial investigation and prosecution in Malta are done by the police force. Within the </w:t>
      </w:r>
      <w:r w:rsidR="001D44F7">
        <w:rPr>
          <w:rFonts w:ascii="Calibri" w:eastAsia="Times New Roman" w:hAnsi="Calibri" w:cs="Calibri"/>
          <w:lang w:val="en-GB" w:eastAsia="zh-CN"/>
        </w:rPr>
        <w:t>p</w:t>
      </w:r>
      <w:r w:rsidR="001D44F7" w:rsidRPr="00E76739">
        <w:rPr>
          <w:rFonts w:ascii="Calibri" w:eastAsia="Times New Roman" w:hAnsi="Calibri" w:cs="Calibri"/>
          <w:lang w:val="en-GB" w:eastAsia="zh-CN"/>
        </w:rPr>
        <w:t xml:space="preserve">olice </w:t>
      </w:r>
      <w:r w:rsidRPr="00E76739">
        <w:rPr>
          <w:rFonts w:ascii="Calibri" w:eastAsia="Times New Roman" w:hAnsi="Calibri" w:cs="Calibri"/>
          <w:lang w:val="en-GB" w:eastAsia="zh-CN"/>
        </w:rPr>
        <w:t xml:space="preserve">there exists a </w:t>
      </w:r>
      <w:r w:rsidR="001D44F7" w:rsidRPr="00E76739">
        <w:rPr>
          <w:rFonts w:ascii="Calibri" w:eastAsia="Times New Roman" w:hAnsi="Calibri" w:cs="Calibri"/>
          <w:lang w:val="en-GB" w:eastAsia="zh-CN"/>
        </w:rPr>
        <w:t>speciali</w:t>
      </w:r>
      <w:r w:rsidR="001D44F7">
        <w:rPr>
          <w:rFonts w:ascii="Calibri" w:eastAsia="Times New Roman" w:hAnsi="Calibri" w:cs="Calibri"/>
          <w:lang w:val="en-GB" w:eastAsia="zh-CN"/>
        </w:rPr>
        <w:t>z</w:t>
      </w:r>
      <w:r w:rsidR="001D44F7"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unit for investigating ML cases. The </w:t>
      </w:r>
      <w:r w:rsidR="001D44F7">
        <w:rPr>
          <w:rFonts w:ascii="Calibri" w:eastAsia="Times New Roman" w:hAnsi="Calibri" w:cs="Calibri"/>
          <w:lang w:val="en-GB" w:eastAsia="zh-CN"/>
        </w:rPr>
        <w:t>u</w:t>
      </w:r>
      <w:r w:rsidR="001D44F7" w:rsidRPr="00E76739">
        <w:rPr>
          <w:rFonts w:ascii="Calibri" w:eastAsia="Times New Roman" w:hAnsi="Calibri" w:cs="Calibri"/>
          <w:lang w:val="en-GB" w:eastAsia="zh-CN"/>
        </w:rPr>
        <w:t xml:space="preserve">nit </w:t>
      </w:r>
      <w:r w:rsidRPr="00E76739">
        <w:rPr>
          <w:rFonts w:ascii="Calibri" w:eastAsia="Times New Roman" w:hAnsi="Calibri" w:cs="Calibri"/>
          <w:lang w:val="en-GB" w:eastAsia="zh-CN"/>
        </w:rPr>
        <w:t xml:space="preserve">is made up of two </w:t>
      </w:r>
      <w:r w:rsidR="001D44F7">
        <w:rPr>
          <w:rFonts w:ascii="Calibri" w:eastAsia="Times New Roman" w:hAnsi="Calibri" w:cs="Calibri"/>
          <w:lang w:val="en-GB" w:eastAsia="zh-CN"/>
        </w:rPr>
        <w:t>i</w:t>
      </w:r>
      <w:r w:rsidR="001D44F7" w:rsidRPr="00E76739">
        <w:rPr>
          <w:rFonts w:ascii="Calibri" w:eastAsia="Times New Roman" w:hAnsi="Calibri" w:cs="Calibri"/>
          <w:lang w:val="en-GB" w:eastAsia="zh-CN"/>
        </w:rPr>
        <w:t xml:space="preserve">nvestigating </w:t>
      </w:r>
      <w:r w:rsidR="001D44F7">
        <w:rPr>
          <w:rFonts w:ascii="Calibri" w:eastAsia="Times New Roman" w:hAnsi="Calibri" w:cs="Calibri"/>
          <w:lang w:val="en-GB" w:eastAsia="zh-CN"/>
        </w:rPr>
        <w:t>t</w:t>
      </w:r>
      <w:r w:rsidR="001D44F7" w:rsidRPr="00E76739">
        <w:rPr>
          <w:rFonts w:ascii="Calibri" w:eastAsia="Times New Roman" w:hAnsi="Calibri" w:cs="Calibri"/>
          <w:lang w:val="en-GB" w:eastAsia="zh-CN"/>
        </w:rPr>
        <w:t>eams</w:t>
      </w:r>
      <w:r w:rsidRPr="00E76739">
        <w:rPr>
          <w:rFonts w:ascii="Calibri" w:eastAsia="Times New Roman" w:hAnsi="Calibri" w:cs="Calibri"/>
          <w:lang w:val="en-GB" w:eastAsia="zh-CN"/>
        </w:rPr>
        <w:t xml:space="preserve">, each staffed with one inspector and two constables. Money </w:t>
      </w:r>
      <w:r w:rsidR="001D44F7">
        <w:rPr>
          <w:rFonts w:ascii="Calibri" w:eastAsia="Times New Roman" w:hAnsi="Calibri" w:cs="Calibri"/>
          <w:lang w:val="en-GB" w:eastAsia="zh-CN"/>
        </w:rPr>
        <w:t>l</w:t>
      </w:r>
      <w:r w:rsidR="001D44F7" w:rsidRPr="00E76739">
        <w:rPr>
          <w:rFonts w:ascii="Calibri" w:eastAsia="Times New Roman" w:hAnsi="Calibri" w:cs="Calibri"/>
          <w:lang w:val="en-GB" w:eastAsia="zh-CN"/>
        </w:rPr>
        <w:t xml:space="preserve">aundering </w:t>
      </w:r>
      <w:r w:rsidRPr="00E76739">
        <w:rPr>
          <w:rFonts w:ascii="Calibri" w:eastAsia="Times New Roman" w:hAnsi="Calibri" w:cs="Calibri"/>
          <w:lang w:val="en-GB" w:eastAsia="zh-CN"/>
        </w:rPr>
        <w:t xml:space="preserve">investigations are initiated by the </w:t>
      </w:r>
      <w:r w:rsidR="001D44F7">
        <w:rPr>
          <w:rFonts w:ascii="Calibri" w:eastAsia="Times New Roman" w:hAnsi="Calibri" w:cs="Calibri"/>
          <w:lang w:val="en-GB" w:eastAsia="zh-CN"/>
        </w:rPr>
        <w:t>m</w:t>
      </w:r>
      <w:r w:rsidR="001D44F7" w:rsidRPr="00E76739">
        <w:rPr>
          <w:rFonts w:ascii="Calibri" w:eastAsia="Times New Roman" w:hAnsi="Calibri" w:cs="Calibri"/>
          <w:lang w:val="en-GB" w:eastAsia="zh-CN"/>
        </w:rPr>
        <w:t xml:space="preserve">oney </w:t>
      </w:r>
      <w:r w:rsidR="001D44F7">
        <w:rPr>
          <w:rFonts w:ascii="Calibri" w:eastAsia="Times New Roman" w:hAnsi="Calibri" w:cs="Calibri"/>
          <w:lang w:val="en-GB" w:eastAsia="zh-CN"/>
        </w:rPr>
        <w:t>l</w:t>
      </w:r>
      <w:r w:rsidR="001D44F7" w:rsidRPr="00E76739">
        <w:rPr>
          <w:rFonts w:ascii="Calibri" w:eastAsia="Times New Roman" w:hAnsi="Calibri" w:cs="Calibri"/>
          <w:lang w:val="en-GB" w:eastAsia="zh-CN"/>
        </w:rPr>
        <w:t xml:space="preserve">aundering </w:t>
      </w:r>
      <w:r w:rsidR="001D44F7">
        <w:rPr>
          <w:rFonts w:ascii="Calibri" w:eastAsia="Times New Roman" w:hAnsi="Calibri" w:cs="Calibri"/>
          <w:lang w:val="en-GB" w:eastAsia="zh-CN"/>
        </w:rPr>
        <w:t>u</w:t>
      </w:r>
      <w:r w:rsidR="001D44F7" w:rsidRPr="00E76739">
        <w:rPr>
          <w:rFonts w:ascii="Calibri" w:eastAsia="Times New Roman" w:hAnsi="Calibri" w:cs="Calibri"/>
          <w:lang w:val="en-GB" w:eastAsia="zh-CN"/>
        </w:rPr>
        <w:t xml:space="preserve">nit </w:t>
      </w:r>
      <w:r w:rsidRPr="00E76739">
        <w:rPr>
          <w:rFonts w:ascii="Calibri" w:eastAsia="Times New Roman" w:hAnsi="Calibri" w:cs="Calibri"/>
          <w:lang w:val="en-GB" w:eastAsia="zh-CN"/>
        </w:rPr>
        <w:t xml:space="preserve">following a suspicious transaction report from the FIU or from other sources, such as the general public, the Attorney General or other police sources. Following the initial investigations, where the investigators see that there is a </w:t>
      </w:r>
      <w:r w:rsidR="00631F17" w:rsidRPr="00E76739">
        <w:rPr>
          <w:rFonts w:ascii="Calibri" w:eastAsia="Times New Roman" w:hAnsi="Calibri" w:cs="Calibri"/>
          <w:lang w:val="en-GB" w:eastAsia="zh-CN"/>
        </w:rPr>
        <w:t>prima</w:t>
      </w:r>
      <w:r w:rsidR="00631F17">
        <w:rPr>
          <w:rFonts w:ascii="Calibri" w:eastAsia="Times New Roman" w:hAnsi="Calibri" w:cs="Calibri"/>
          <w:lang w:val="en-GB" w:eastAsia="zh-CN"/>
        </w:rPr>
        <w:t>-</w:t>
      </w:r>
      <w:r w:rsidRPr="00E76739">
        <w:rPr>
          <w:rFonts w:ascii="Calibri" w:eastAsia="Times New Roman" w:hAnsi="Calibri" w:cs="Calibri"/>
          <w:lang w:val="en-GB" w:eastAsia="zh-CN"/>
        </w:rPr>
        <w:t xml:space="preserve">facie case of money laundering, the police send a request to the Attorney General. If the latter considers that there are sufficient grounds for suspicion, he files a request in the </w:t>
      </w:r>
      <w:r w:rsidR="00631F17">
        <w:rPr>
          <w:rFonts w:ascii="Calibri" w:eastAsia="Times New Roman" w:hAnsi="Calibri" w:cs="Calibri"/>
          <w:lang w:val="en-GB" w:eastAsia="zh-CN"/>
        </w:rPr>
        <w:t>c</w:t>
      </w:r>
      <w:r w:rsidR="00631F17" w:rsidRPr="00E76739">
        <w:rPr>
          <w:rFonts w:ascii="Calibri" w:eastAsia="Times New Roman" w:hAnsi="Calibri" w:cs="Calibri"/>
          <w:lang w:val="en-GB" w:eastAsia="zh-CN"/>
        </w:rPr>
        <w:t xml:space="preserve">riminal </w:t>
      </w:r>
      <w:r w:rsidR="00631F17">
        <w:rPr>
          <w:rFonts w:ascii="Calibri" w:eastAsia="Times New Roman" w:hAnsi="Calibri" w:cs="Calibri"/>
          <w:lang w:val="en-GB" w:eastAsia="zh-CN"/>
        </w:rPr>
        <w:t>c</w:t>
      </w:r>
      <w:r w:rsidR="00631F17" w:rsidRPr="00E76739">
        <w:rPr>
          <w:rFonts w:ascii="Calibri" w:eastAsia="Times New Roman" w:hAnsi="Calibri" w:cs="Calibri"/>
          <w:lang w:val="en-GB" w:eastAsia="zh-CN"/>
        </w:rPr>
        <w:t xml:space="preserve">ourt </w:t>
      </w:r>
      <w:r w:rsidRPr="00E76739">
        <w:rPr>
          <w:rFonts w:ascii="Calibri" w:eastAsia="Times New Roman" w:hAnsi="Calibri" w:cs="Calibri"/>
          <w:lang w:val="en-GB" w:eastAsia="zh-CN"/>
        </w:rPr>
        <w:t xml:space="preserve">before a </w:t>
      </w:r>
      <w:r w:rsidR="00631F17">
        <w:rPr>
          <w:rFonts w:ascii="Calibri" w:eastAsia="Times New Roman" w:hAnsi="Calibri" w:cs="Calibri"/>
          <w:lang w:val="en-GB" w:eastAsia="zh-CN"/>
        </w:rPr>
        <w:t>j</w:t>
      </w:r>
      <w:r w:rsidR="00631F17" w:rsidRPr="00E76739">
        <w:rPr>
          <w:rFonts w:ascii="Calibri" w:eastAsia="Times New Roman" w:hAnsi="Calibri" w:cs="Calibri"/>
          <w:lang w:val="en-GB" w:eastAsia="zh-CN"/>
        </w:rPr>
        <w:t>udge</w:t>
      </w:r>
      <w:r w:rsidRPr="00E76739">
        <w:rPr>
          <w:rFonts w:ascii="Calibri" w:eastAsia="Times New Roman" w:hAnsi="Calibri" w:cs="Calibri"/>
          <w:lang w:val="en-GB" w:eastAsia="zh-CN"/>
        </w:rPr>
        <w:t xml:space="preserve">. The </w:t>
      </w:r>
      <w:r w:rsidR="00631F17">
        <w:rPr>
          <w:rFonts w:ascii="Calibri" w:eastAsia="Times New Roman" w:hAnsi="Calibri" w:cs="Calibri"/>
          <w:lang w:val="en-GB" w:eastAsia="zh-CN"/>
        </w:rPr>
        <w:t>j</w:t>
      </w:r>
      <w:r w:rsidR="00631F17" w:rsidRPr="00E76739">
        <w:rPr>
          <w:rFonts w:ascii="Calibri" w:eastAsia="Times New Roman" w:hAnsi="Calibri" w:cs="Calibri"/>
          <w:lang w:val="en-GB" w:eastAsia="zh-CN"/>
        </w:rPr>
        <w:t xml:space="preserve">udge </w:t>
      </w:r>
      <w:r w:rsidRPr="00E76739">
        <w:rPr>
          <w:rFonts w:ascii="Calibri" w:eastAsia="Times New Roman" w:hAnsi="Calibri" w:cs="Calibri"/>
          <w:lang w:val="en-GB" w:eastAsia="zh-CN"/>
        </w:rPr>
        <w:t>decrees and issues the investigation order and/or the attachment order as the case may be.</w:t>
      </w:r>
    </w:p>
    <w:p w14:paraId="17C9523D" w14:textId="09A33CF7"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The Attorney General’s Office has assigned money laundering cases, </w:t>
      </w:r>
      <w:r w:rsidR="00631F17" w:rsidRPr="00E76739">
        <w:rPr>
          <w:rFonts w:ascii="Calibri" w:eastAsia="Times New Roman" w:hAnsi="Calibri" w:cs="Calibri"/>
          <w:lang w:val="en-GB" w:eastAsia="zh-CN"/>
        </w:rPr>
        <w:t>organi</w:t>
      </w:r>
      <w:r w:rsidR="00631F17">
        <w:rPr>
          <w:rFonts w:ascii="Calibri" w:eastAsia="Times New Roman" w:hAnsi="Calibri" w:cs="Calibri"/>
          <w:lang w:val="en-GB" w:eastAsia="zh-CN"/>
        </w:rPr>
        <w:t>z</w:t>
      </w:r>
      <w:r w:rsidR="00631F17"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crime and international cooperation in criminal matters to a unit which provides for </w:t>
      </w:r>
      <w:r w:rsidR="00631F17" w:rsidRPr="00E76739">
        <w:rPr>
          <w:rFonts w:ascii="Calibri" w:eastAsia="Times New Roman" w:hAnsi="Calibri" w:cs="Calibri"/>
          <w:lang w:val="en-GB" w:eastAsia="zh-CN"/>
        </w:rPr>
        <w:t>speciali</w:t>
      </w:r>
      <w:r w:rsidR="00631F17">
        <w:rPr>
          <w:rFonts w:ascii="Calibri" w:eastAsia="Times New Roman" w:hAnsi="Calibri" w:cs="Calibri"/>
          <w:lang w:val="en-GB" w:eastAsia="zh-CN"/>
        </w:rPr>
        <w:t>z</w:t>
      </w:r>
      <w:r w:rsidR="00631F17" w:rsidRPr="00E76739">
        <w:rPr>
          <w:rFonts w:ascii="Calibri" w:eastAsia="Times New Roman" w:hAnsi="Calibri" w:cs="Calibri"/>
          <w:lang w:val="en-GB" w:eastAsia="zh-CN"/>
        </w:rPr>
        <w:t xml:space="preserve">ation </w:t>
      </w:r>
      <w:r w:rsidRPr="00E76739">
        <w:rPr>
          <w:rFonts w:ascii="Calibri" w:eastAsia="Times New Roman" w:hAnsi="Calibri" w:cs="Calibri"/>
          <w:lang w:val="en-GB" w:eastAsia="zh-CN"/>
        </w:rPr>
        <w:t xml:space="preserve">in these fields. The </w:t>
      </w:r>
      <w:r w:rsidR="00631F17">
        <w:rPr>
          <w:rFonts w:ascii="Calibri" w:eastAsia="Times New Roman" w:hAnsi="Calibri" w:cs="Calibri"/>
          <w:lang w:val="en-GB" w:eastAsia="zh-CN"/>
        </w:rPr>
        <w:t>u</w:t>
      </w:r>
      <w:r w:rsidR="00631F17" w:rsidRPr="00E76739">
        <w:rPr>
          <w:rFonts w:ascii="Calibri" w:eastAsia="Times New Roman" w:hAnsi="Calibri" w:cs="Calibri"/>
          <w:lang w:val="en-GB" w:eastAsia="zh-CN"/>
        </w:rPr>
        <w:t xml:space="preserve">nit </w:t>
      </w:r>
      <w:r w:rsidRPr="00E76739">
        <w:rPr>
          <w:rFonts w:ascii="Calibri" w:eastAsia="Times New Roman" w:hAnsi="Calibri" w:cs="Calibri"/>
          <w:lang w:val="en-GB" w:eastAsia="zh-CN"/>
        </w:rPr>
        <w:t xml:space="preserve">is made up of a </w:t>
      </w:r>
      <w:r w:rsidR="00631F17">
        <w:rPr>
          <w:rFonts w:ascii="Calibri" w:eastAsia="Times New Roman" w:hAnsi="Calibri" w:cs="Calibri"/>
          <w:lang w:val="en-GB" w:eastAsia="zh-CN"/>
        </w:rPr>
        <w:t>s</w:t>
      </w:r>
      <w:r w:rsidR="00631F17" w:rsidRPr="00E76739">
        <w:rPr>
          <w:rFonts w:ascii="Calibri" w:eastAsia="Times New Roman" w:hAnsi="Calibri" w:cs="Calibri"/>
          <w:lang w:val="en-GB" w:eastAsia="zh-CN"/>
        </w:rPr>
        <w:t xml:space="preserve">enior </w:t>
      </w:r>
      <w:r w:rsidR="00631F17">
        <w:rPr>
          <w:rFonts w:ascii="Calibri" w:eastAsia="Times New Roman" w:hAnsi="Calibri" w:cs="Calibri"/>
          <w:lang w:val="en-GB" w:eastAsia="zh-CN"/>
        </w:rPr>
        <w:t>c</w:t>
      </w:r>
      <w:r w:rsidR="00631F17" w:rsidRPr="00E76739">
        <w:rPr>
          <w:rFonts w:ascii="Calibri" w:eastAsia="Times New Roman" w:hAnsi="Calibri" w:cs="Calibri"/>
          <w:lang w:val="en-GB" w:eastAsia="zh-CN"/>
        </w:rPr>
        <w:t xml:space="preserve">ounsel </w:t>
      </w:r>
      <w:r w:rsidRPr="00E76739">
        <w:rPr>
          <w:rFonts w:ascii="Calibri" w:eastAsia="Times New Roman" w:hAnsi="Calibri" w:cs="Calibri"/>
          <w:lang w:val="en-GB" w:eastAsia="zh-CN"/>
        </w:rPr>
        <w:t xml:space="preserve">to the </w:t>
      </w:r>
      <w:r w:rsidR="00631F17">
        <w:rPr>
          <w:rFonts w:ascii="Calibri" w:eastAsia="Times New Roman" w:hAnsi="Calibri" w:cs="Calibri"/>
          <w:lang w:val="en-GB" w:eastAsia="zh-CN"/>
        </w:rPr>
        <w:t>r</w:t>
      </w:r>
      <w:r w:rsidR="00631F17" w:rsidRPr="00E76739">
        <w:rPr>
          <w:rFonts w:ascii="Calibri" w:eastAsia="Times New Roman" w:hAnsi="Calibri" w:cs="Calibri"/>
          <w:lang w:val="en-GB" w:eastAsia="zh-CN"/>
        </w:rPr>
        <w:t xml:space="preserve">epublic </w:t>
      </w:r>
      <w:r w:rsidRPr="00E76739">
        <w:rPr>
          <w:rFonts w:ascii="Calibri" w:eastAsia="Times New Roman" w:hAnsi="Calibri" w:cs="Calibri"/>
          <w:lang w:val="en-GB" w:eastAsia="zh-CN"/>
        </w:rPr>
        <w:t xml:space="preserve">and a lawyer. Both the </w:t>
      </w:r>
      <w:r w:rsidR="00631F17">
        <w:rPr>
          <w:rFonts w:ascii="Calibri" w:eastAsia="Times New Roman" w:hAnsi="Calibri" w:cs="Calibri"/>
          <w:lang w:val="en-GB" w:eastAsia="zh-CN"/>
        </w:rPr>
        <w:t>p</w:t>
      </w:r>
      <w:r w:rsidR="00631F17" w:rsidRPr="00E76739">
        <w:rPr>
          <w:rFonts w:ascii="Calibri" w:eastAsia="Times New Roman" w:hAnsi="Calibri" w:cs="Calibri"/>
          <w:lang w:val="en-GB" w:eastAsia="zh-CN"/>
        </w:rPr>
        <w:t xml:space="preserve">olice </w:t>
      </w:r>
      <w:r w:rsidRPr="00E76739">
        <w:rPr>
          <w:rFonts w:ascii="Calibri" w:eastAsia="Times New Roman" w:hAnsi="Calibri" w:cs="Calibri"/>
          <w:lang w:val="en-GB" w:eastAsia="zh-CN"/>
        </w:rPr>
        <w:t xml:space="preserve">and the AGO can prosecute. If the </w:t>
      </w:r>
      <w:r w:rsidR="00631F17">
        <w:rPr>
          <w:rFonts w:ascii="Calibri" w:eastAsia="Times New Roman" w:hAnsi="Calibri" w:cs="Calibri"/>
          <w:lang w:val="en-GB" w:eastAsia="zh-CN"/>
        </w:rPr>
        <w:t>p</w:t>
      </w:r>
      <w:r w:rsidR="00631F17" w:rsidRPr="00E76739">
        <w:rPr>
          <w:rFonts w:ascii="Calibri" w:eastAsia="Times New Roman" w:hAnsi="Calibri" w:cs="Calibri"/>
          <w:lang w:val="en-GB" w:eastAsia="zh-CN"/>
        </w:rPr>
        <w:t xml:space="preserve">olice </w:t>
      </w:r>
      <w:r w:rsidRPr="00E76739">
        <w:rPr>
          <w:rFonts w:ascii="Calibri" w:eastAsia="Times New Roman" w:hAnsi="Calibri" w:cs="Calibri"/>
          <w:lang w:val="en-GB" w:eastAsia="zh-CN"/>
        </w:rPr>
        <w:t xml:space="preserve">prosecute the case, the case will be tried before the </w:t>
      </w:r>
      <w:r w:rsidR="00631F17">
        <w:rPr>
          <w:rFonts w:ascii="Calibri" w:eastAsia="Times New Roman" w:hAnsi="Calibri" w:cs="Calibri"/>
          <w:lang w:val="en-GB" w:eastAsia="zh-CN"/>
        </w:rPr>
        <w:t>c</w:t>
      </w:r>
      <w:r w:rsidR="00631F17" w:rsidRPr="00E76739">
        <w:rPr>
          <w:rFonts w:ascii="Calibri" w:eastAsia="Times New Roman" w:hAnsi="Calibri" w:cs="Calibri"/>
          <w:lang w:val="en-GB" w:eastAsia="zh-CN"/>
        </w:rPr>
        <w:t xml:space="preserve">ourt </w:t>
      </w:r>
      <w:r w:rsidRPr="00E76739">
        <w:rPr>
          <w:rFonts w:ascii="Calibri" w:eastAsia="Times New Roman" w:hAnsi="Calibri" w:cs="Calibri"/>
          <w:lang w:val="en-GB" w:eastAsia="zh-CN"/>
        </w:rPr>
        <w:t xml:space="preserve">of </w:t>
      </w:r>
      <w:r w:rsidR="00631F17">
        <w:rPr>
          <w:rFonts w:ascii="Calibri" w:eastAsia="Times New Roman" w:hAnsi="Calibri" w:cs="Calibri"/>
          <w:lang w:val="en-GB" w:eastAsia="zh-CN"/>
        </w:rPr>
        <w:t>m</w:t>
      </w:r>
      <w:r w:rsidR="00631F17" w:rsidRPr="00E76739">
        <w:rPr>
          <w:rFonts w:ascii="Calibri" w:eastAsia="Times New Roman" w:hAnsi="Calibri" w:cs="Calibri"/>
          <w:lang w:val="en-GB" w:eastAsia="zh-CN"/>
        </w:rPr>
        <w:t>agistrates</w:t>
      </w:r>
      <w:r w:rsidRPr="00E76739">
        <w:rPr>
          <w:rFonts w:ascii="Calibri" w:eastAsia="Times New Roman" w:hAnsi="Calibri" w:cs="Calibri"/>
          <w:lang w:val="en-GB" w:eastAsia="zh-CN"/>
        </w:rPr>
        <w:t xml:space="preserve">. Otherwise, if the AGO prosecutes, then the case can also be tried in front of a </w:t>
      </w:r>
      <w:r w:rsidR="00631F17" w:rsidRPr="00E76739">
        <w:rPr>
          <w:rFonts w:ascii="Calibri" w:eastAsia="Times New Roman" w:hAnsi="Calibri" w:cs="Calibri"/>
          <w:lang w:val="en-GB" w:eastAsia="zh-CN"/>
        </w:rPr>
        <w:t>speciali</w:t>
      </w:r>
      <w:r w:rsidR="00631F17">
        <w:rPr>
          <w:rFonts w:ascii="Calibri" w:eastAsia="Times New Roman" w:hAnsi="Calibri" w:cs="Calibri"/>
          <w:lang w:val="en-GB" w:eastAsia="zh-CN"/>
        </w:rPr>
        <w:t>z</w:t>
      </w:r>
      <w:r w:rsidR="00631F17" w:rsidRPr="00E76739">
        <w:rPr>
          <w:rFonts w:ascii="Calibri" w:eastAsia="Times New Roman" w:hAnsi="Calibri" w:cs="Calibri"/>
          <w:lang w:val="en-GB" w:eastAsia="zh-CN"/>
        </w:rPr>
        <w:t xml:space="preserve">ed </w:t>
      </w:r>
      <w:r w:rsidR="00631F17">
        <w:rPr>
          <w:rFonts w:ascii="Calibri" w:eastAsia="Times New Roman" w:hAnsi="Calibri" w:cs="Calibri"/>
          <w:lang w:val="en-GB" w:eastAsia="zh-CN"/>
        </w:rPr>
        <w:t>c</w:t>
      </w:r>
      <w:r w:rsidR="00631F17" w:rsidRPr="00E76739">
        <w:rPr>
          <w:rFonts w:ascii="Calibri" w:eastAsia="Times New Roman" w:hAnsi="Calibri" w:cs="Calibri"/>
          <w:lang w:val="en-GB" w:eastAsia="zh-CN"/>
        </w:rPr>
        <w:t xml:space="preserve">riminal </w:t>
      </w:r>
      <w:r w:rsidR="00631F17">
        <w:rPr>
          <w:rFonts w:ascii="Calibri" w:eastAsia="Times New Roman" w:hAnsi="Calibri" w:cs="Calibri"/>
          <w:lang w:val="en-GB" w:eastAsia="zh-CN"/>
        </w:rPr>
        <w:t>c</w:t>
      </w:r>
      <w:r w:rsidR="00631F17" w:rsidRPr="00E76739">
        <w:rPr>
          <w:rFonts w:ascii="Calibri" w:eastAsia="Times New Roman" w:hAnsi="Calibri" w:cs="Calibri"/>
          <w:lang w:val="en-GB" w:eastAsia="zh-CN"/>
        </w:rPr>
        <w:t xml:space="preserve">ourt </w:t>
      </w:r>
      <w:r w:rsidRPr="00E76739">
        <w:rPr>
          <w:rFonts w:ascii="Calibri" w:eastAsia="Times New Roman" w:hAnsi="Calibri" w:cs="Calibri"/>
          <w:lang w:val="en-GB" w:eastAsia="zh-CN"/>
        </w:rPr>
        <w:t>if the AG deems so necessary and otherwise it will be tried before the lower court.</w:t>
      </w:r>
    </w:p>
    <w:p w14:paraId="2164B173" w14:textId="56669869"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The FIU receives feedback from the police on the cases it forwards to them. The Maltese representatives argue this is an informal discussion that is not always mediated by the police liaison officer. However, the police liaison officer does take an active role in advising the FIU on investigative techniques and on LEA-related issues</w:t>
      </w:r>
      <w:r w:rsidR="00631F17">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52"/>
      </w:r>
      <w:r w:rsidRPr="00E76739">
        <w:rPr>
          <w:rFonts w:ascii="Calibri" w:eastAsia="Times New Roman" w:hAnsi="Calibri" w:cs="Calibri"/>
          <w:lang w:val="en-GB" w:eastAsia="zh-CN"/>
        </w:rPr>
        <w:t xml:space="preserve"> There is no formal channel of discussion with the PPO. The FIU deems feedback important and would like to see more feedback from the police and from the prosecution units – especially with respect to the outcomes of the cases investigated by the FIU. This, according to the Maltese representatives, is very important for boosting the morale of the FIU agents and increasing their dedication to fighting money laundering and terrorist financing cases. </w:t>
      </w:r>
    </w:p>
    <w:p w14:paraId="2EF8409A" w14:textId="77777777" w:rsidR="00E76739" w:rsidRPr="00E76739" w:rsidRDefault="00E76739" w:rsidP="00E76739">
      <w:pPr>
        <w:spacing w:after="0" w:line="240" w:lineRule="auto"/>
        <w:jc w:val="both"/>
        <w:rPr>
          <w:rFonts w:ascii="Calibri" w:eastAsia="SimSun" w:hAnsi="Calibri" w:cs="Times New Roman"/>
          <w:b/>
          <w:bCs/>
          <w:lang w:val="en-GB" w:eastAsia="zh-CN"/>
        </w:rPr>
      </w:pPr>
      <w:bookmarkStart w:id="76" w:name="_Toc341109095"/>
      <w:bookmarkStart w:id="77" w:name="_Toc341266535"/>
      <w:bookmarkStart w:id="78" w:name="_Toc341269290"/>
    </w:p>
    <w:p w14:paraId="04D313CA"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30AAD692" w14:textId="38F1D554" w:rsidR="00E76739" w:rsidRPr="00E76739" w:rsidRDefault="00BA07A1" w:rsidP="00E76739">
      <w:pPr>
        <w:spacing w:after="24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.5.19</w:t>
      </w:r>
      <w:r w:rsidR="00E76739" w:rsidRPr="00E76739">
        <w:rPr>
          <w:rFonts w:ascii="Calibri" w:eastAsia="SimSun" w:hAnsi="Calibri" w:cs="Times New Roman"/>
          <w:b/>
          <w:bCs/>
          <w:lang w:val="en-GB" w:eastAsia="zh-CN"/>
        </w:rPr>
        <w:tab/>
      </w:r>
      <w:r w:rsidR="00631F17">
        <w:rPr>
          <w:rFonts w:ascii="Calibri" w:eastAsia="SimSun" w:hAnsi="Calibri" w:cs="Times New Roman"/>
          <w:b/>
          <w:bCs/>
          <w:lang w:val="en-GB" w:eastAsia="zh-CN"/>
        </w:rPr>
        <w:t>T</w:t>
      </w:r>
      <w:r w:rsidR="00631F17" w:rsidRPr="00E76739">
        <w:rPr>
          <w:rFonts w:ascii="Calibri" w:eastAsia="SimSun" w:hAnsi="Calibri" w:cs="Times New Roman"/>
          <w:b/>
          <w:bCs/>
          <w:lang w:val="en-GB" w:eastAsia="zh-CN"/>
        </w:rPr>
        <w:t xml:space="preserve">he </w:t>
      </w:r>
      <w:r w:rsidR="00E76739" w:rsidRPr="00E76739">
        <w:rPr>
          <w:rFonts w:ascii="Calibri" w:eastAsia="SimSun" w:hAnsi="Calibri" w:cs="Times New Roman"/>
          <w:b/>
          <w:bCs/>
          <w:lang w:val="en-GB" w:eastAsia="zh-CN"/>
        </w:rPr>
        <w:t>Netherlands</w:t>
      </w:r>
      <w:bookmarkEnd w:id="76"/>
      <w:bookmarkEnd w:id="77"/>
      <w:bookmarkEnd w:id="78"/>
    </w:p>
    <w:p w14:paraId="24F65CA2" w14:textId="4EB04F98"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FIU-NL receives UTRs from the reporting institutions. The analysis of UTRs consists mainly of matching the UTR information with other information the FIU has access to. Where the FIU finds evidence of suspicion, the UTR is classified as </w:t>
      </w:r>
      <w:r w:rsidR="00E6083B">
        <w:rPr>
          <w:rFonts w:ascii="Calibri" w:eastAsia="Calibri" w:hAnsi="Calibri" w:cs="Times New Roman"/>
          <w:lang w:val="en-GB" w:eastAsia="zh-CN"/>
        </w:rPr>
        <w:t xml:space="preserve">an </w:t>
      </w:r>
      <w:r w:rsidRPr="00E76739">
        <w:rPr>
          <w:rFonts w:ascii="Calibri" w:eastAsia="Calibri" w:hAnsi="Calibri" w:cs="Times New Roman"/>
          <w:lang w:val="en-GB" w:eastAsia="zh-CN"/>
        </w:rPr>
        <w:t xml:space="preserve">STR and loaded </w:t>
      </w:r>
      <w:r w:rsidR="00E6083B">
        <w:rPr>
          <w:rFonts w:ascii="Calibri" w:eastAsia="Calibri" w:hAnsi="Calibri" w:cs="Times New Roman"/>
          <w:lang w:val="en-GB" w:eastAsia="zh-CN"/>
        </w:rPr>
        <w:t>o</w:t>
      </w:r>
      <w:r w:rsidR="00E6083B" w:rsidRPr="00E76739">
        <w:rPr>
          <w:rFonts w:ascii="Calibri" w:eastAsia="Calibri" w:hAnsi="Calibri" w:cs="Times New Roman"/>
          <w:lang w:val="en-GB" w:eastAsia="zh-CN"/>
        </w:rPr>
        <w:t xml:space="preserve">nto </w:t>
      </w:r>
      <w:r w:rsidRPr="00E76739">
        <w:rPr>
          <w:rFonts w:ascii="Calibri" w:eastAsia="Calibri" w:hAnsi="Calibri" w:cs="Times New Roman"/>
          <w:lang w:val="en-GB" w:eastAsia="zh-CN"/>
        </w:rPr>
        <w:t xml:space="preserve">the second database – the STR database. The latter can be accessed by law enforcement authorities for criminal investigations concerning any crime, not only ML/FT. The FIU mostly re-labels the UTR STR once it finds a match </w:t>
      </w:r>
      <w:r w:rsidR="00E6083B">
        <w:rPr>
          <w:rFonts w:ascii="Calibri" w:eastAsia="Calibri" w:hAnsi="Calibri" w:cs="Times New Roman"/>
          <w:lang w:val="en-GB" w:eastAsia="zh-CN"/>
        </w:rPr>
        <w:t>for</w:t>
      </w:r>
      <w:r w:rsidR="00E6083B"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the UTR in the police database (called VROS). Alternatively, the FIU can transform a UTR into an STR if suspicion arises once a foreign FIU makes an inquiry that matches the UTR database. Finally, according to the PPO representative, if the police in the course of another investigation have reasons to suspect that a person has been laundering funds, they can notify the National Prosecution Officer (NPO) for ML and request financial information on the suspect. The NPO has to evaluate this claim and if it deems it justifiable, it will ask the FIU to check their databases for other information related to this person. The FIU will then have to check their UTR database and transform </w:t>
      </w:r>
      <w:r w:rsidR="00E6083B">
        <w:rPr>
          <w:rFonts w:ascii="Calibri" w:eastAsia="Calibri" w:hAnsi="Calibri" w:cs="Times New Roman"/>
          <w:lang w:val="en-GB" w:eastAsia="zh-CN"/>
        </w:rPr>
        <w:t>any</w:t>
      </w:r>
      <w:r w:rsidR="00E6083B"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possible existing UTRs on the suspect into STRs. </w:t>
      </w:r>
    </w:p>
    <w:p w14:paraId="1A4C722B" w14:textId="02A96090"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authorities explained that the rationale of the process for the substantiation of a UTR into an STR is to determine whether the transaction-related information is </w:t>
      </w:r>
      <w:r w:rsidR="00F42D36">
        <w:rPr>
          <w:rFonts w:ascii="Calibri" w:eastAsia="Calibri" w:hAnsi="Calibri" w:cs="Times New Roman"/>
          <w:lang w:val="en-GB" w:eastAsia="zh-CN"/>
        </w:rPr>
        <w:t>‘</w:t>
      </w:r>
      <w:r w:rsidRPr="00E76739">
        <w:rPr>
          <w:rFonts w:ascii="Calibri" w:eastAsia="Calibri" w:hAnsi="Calibri" w:cs="Times New Roman"/>
          <w:lang w:val="en-GB" w:eastAsia="zh-CN"/>
        </w:rPr>
        <w:t>relevant</w:t>
      </w:r>
      <w:r w:rsidR="00F42D36">
        <w:rPr>
          <w:rFonts w:ascii="Calibri" w:eastAsia="Calibri" w:hAnsi="Calibri" w:cs="Times New Roman"/>
          <w:lang w:val="en-GB" w:eastAsia="zh-CN"/>
        </w:rPr>
        <w:t>’</w:t>
      </w:r>
      <w:r w:rsidR="00F42D36" w:rsidRPr="00E76739">
        <w:rPr>
          <w:rFonts w:ascii="Calibri" w:eastAsia="Calibri" w:hAnsi="Calibri" w:cs="Times New Roman"/>
          <w:lang w:val="en-GB" w:eastAsia="zh-CN"/>
        </w:rPr>
        <w:t xml:space="preserve"> </w:t>
      </w:r>
      <w:r w:rsidR="00F42D36">
        <w:rPr>
          <w:rFonts w:ascii="Calibri" w:eastAsia="Calibri" w:hAnsi="Calibri" w:cs="Times New Roman"/>
          <w:lang w:val="en-GB" w:eastAsia="zh-CN"/>
        </w:rPr>
        <w:t>to the</w:t>
      </w:r>
      <w:r w:rsidR="00F42D36"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law enforcement authorities and to establish a link between the UTR and any criminal activity</w:t>
      </w:r>
      <w:r w:rsidR="00F42D36">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53"/>
      </w:r>
      <w:r w:rsidRPr="00E76739">
        <w:rPr>
          <w:rFonts w:ascii="Calibri" w:eastAsia="Calibri" w:hAnsi="Calibri" w:cs="Times New Roman"/>
          <w:lang w:val="en-GB" w:eastAsia="zh-CN"/>
        </w:rPr>
        <w:t xml:space="preserve"> After </w:t>
      </w:r>
      <w:r w:rsidR="00F42D36" w:rsidRPr="00E76739">
        <w:rPr>
          <w:rFonts w:ascii="Calibri" w:eastAsia="Calibri" w:hAnsi="Calibri" w:cs="Times New Roman"/>
          <w:lang w:val="en-GB" w:eastAsia="zh-CN"/>
        </w:rPr>
        <w:t>authori</w:t>
      </w:r>
      <w:r w:rsidR="00F42D36">
        <w:rPr>
          <w:rFonts w:ascii="Calibri" w:eastAsia="Calibri" w:hAnsi="Calibri" w:cs="Times New Roman"/>
          <w:lang w:val="en-GB" w:eastAsia="zh-CN"/>
        </w:rPr>
        <w:t>z</w:t>
      </w:r>
      <w:r w:rsidR="00F42D36" w:rsidRPr="00E76739">
        <w:rPr>
          <w:rFonts w:ascii="Calibri" w:eastAsia="Calibri" w:hAnsi="Calibri" w:cs="Times New Roman"/>
          <w:lang w:val="en-GB" w:eastAsia="zh-CN"/>
        </w:rPr>
        <w:t>ation</w:t>
      </w:r>
      <w:r w:rsidRPr="00E76739">
        <w:rPr>
          <w:rFonts w:ascii="Calibri" w:eastAsia="Calibri" w:hAnsi="Calibri" w:cs="Times New Roman"/>
          <w:lang w:val="en-GB" w:eastAsia="zh-CN"/>
        </w:rPr>
        <w:t xml:space="preserve">, </w:t>
      </w:r>
      <w:r w:rsidR="00F42D36">
        <w:rPr>
          <w:rFonts w:ascii="Calibri" w:eastAsia="Calibri" w:hAnsi="Calibri" w:cs="Times New Roman"/>
          <w:lang w:val="en-GB" w:eastAsia="zh-CN"/>
        </w:rPr>
        <w:t xml:space="preserve">the </w:t>
      </w:r>
      <w:r w:rsidRPr="00E76739">
        <w:rPr>
          <w:rFonts w:ascii="Calibri" w:eastAsia="Calibri" w:hAnsi="Calibri" w:cs="Times New Roman"/>
          <w:lang w:val="en-GB" w:eastAsia="zh-CN"/>
        </w:rPr>
        <w:t xml:space="preserve">competent authorities have digital access to the information in the STRs database, through an </w:t>
      </w:r>
      <w:r w:rsidR="00F42D36">
        <w:rPr>
          <w:rFonts w:ascii="Calibri" w:eastAsia="Calibri" w:hAnsi="Calibri" w:cs="Times New Roman"/>
          <w:lang w:val="en-GB" w:eastAsia="zh-CN"/>
        </w:rPr>
        <w:t>i</w:t>
      </w:r>
      <w:r w:rsidR="00F42D36" w:rsidRPr="00E76739">
        <w:rPr>
          <w:rFonts w:ascii="Calibri" w:eastAsia="Calibri" w:hAnsi="Calibri" w:cs="Times New Roman"/>
          <w:lang w:val="en-GB" w:eastAsia="zh-CN"/>
        </w:rPr>
        <w:t xml:space="preserve">nternet </w:t>
      </w:r>
      <w:r w:rsidR="00F42D36">
        <w:rPr>
          <w:rFonts w:ascii="Calibri" w:eastAsia="Calibri" w:hAnsi="Calibri" w:cs="Times New Roman"/>
          <w:lang w:val="en-GB" w:eastAsia="zh-CN"/>
        </w:rPr>
        <w:t>p</w:t>
      </w:r>
      <w:r w:rsidR="00F42D36" w:rsidRPr="00E76739">
        <w:rPr>
          <w:rFonts w:ascii="Calibri" w:eastAsia="Calibri" w:hAnsi="Calibri" w:cs="Times New Roman"/>
          <w:lang w:val="en-GB" w:eastAsia="zh-CN"/>
        </w:rPr>
        <w:t xml:space="preserve">ortal </w:t>
      </w:r>
      <w:r w:rsidRPr="00E76739">
        <w:rPr>
          <w:rFonts w:ascii="Calibri" w:eastAsia="Calibri" w:hAnsi="Calibri" w:cs="Times New Roman"/>
          <w:lang w:val="en-GB" w:eastAsia="zh-CN"/>
        </w:rPr>
        <w:t>(IVT). According to the FIU representative, this is how the FIU-NL disseminates information</w:t>
      </w:r>
      <w:r w:rsidR="00F42D36">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54"/>
      </w:r>
      <w:r w:rsidRPr="00E76739">
        <w:rPr>
          <w:rFonts w:ascii="Calibri" w:eastAsia="Calibri" w:hAnsi="Calibri" w:cs="Times New Roman"/>
          <w:lang w:val="en-GB" w:eastAsia="zh-CN"/>
        </w:rPr>
        <w:t xml:space="preserve"> </w:t>
      </w:r>
    </w:p>
    <w:p w14:paraId="01C4A1C2" w14:textId="66C639F0"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Dutch prosecutors have an independent position. They do not fall under the authority of the Ministry of Justice with respect to prosecution policy. The General Prosecution Office (hereafter the OM) is the only structure that can order prosecutors to prosecute. The National </w:t>
      </w:r>
      <w:r w:rsidR="00A57564" w:rsidRPr="00E76739">
        <w:rPr>
          <w:rFonts w:ascii="Calibri" w:eastAsia="Calibri" w:hAnsi="Calibri" w:cs="Times New Roman"/>
          <w:lang w:val="en-GB" w:eastAsia="zh-CN"/>
        </w:rPr>
        <w:t>Prosecution</w:t>
      </w:r>
      <w:r w:rsidR="00A57564">
        <w:rPr>
          <w:rFonts w:ascii="Calibri" w:eastAsia="Calibri" w:hAnsi="Calibri" w:cs="Times New Roman"/>
          <w:lang w:val="en-GB" w:eastAsia="zh-CN"/>
        </w:rPr>
        <w:t>’</w:t>
      </w:r>
      <w:r w:rsidR="00A57564" w:rsidRPr="00E76739">
        <w:rPr>
          <w:rFonts w:ascii="Calibri" w:eastAsia="Calibri" w:hAnsi="Calibri" w:cs="Times New Roman"/>
          <w:lang w:val="en-GB" w:eastAsia="zh-CN"/>
        </w:rPr>
        <w:t xml:space="preserve">s </w:t>
      </w:r>
      <w:r w:rsidRPr="00E76739">
        <w:rPr>
          <w:rFonts w:ascii="Calibri" w:eastAsia="Calibri" w:hAnsi="Calibri" w:cs="Times New Roman"/>
          <w:lang w:val="en-GB" w:eastAsia="zh-CN"/>
        </w:rPr>
        <w:t xml:space="preserve">Office (hereafter </w:t>
      </w:r>
      <w:r w:rsidR="00A57564">
        <w:rPr>
          <w:rFonts w:ascii="Calibri" w:eastAsia="Calibri" w:hAnsi="Calibri" w:cs="Times New Roman"/>
          <w:lang w:val="en-GB" w:eastAsia="zh-CN"/>
        </w:rPr>
        <w:t xml:space="preserve">the </w:t>
      </w:r>
      <w:r w:rsidRPr="00E76739">
        <w:rPr>
          <w:rFonts w:ascii="Calibri" w:eastAsia="Calibri" w:hAnsi="Calibri" w:cs="Times New Roman"/>
          <w:lang w:val="en-GB" w:eastAsia="zh-CN"/>
        </w:rPr>
        <w:t xml:space="preserve">LP), the Financial, </w:t>
      </w:r>
      <w:r w:rsidR="00A57564">
        <w:rPr>
          <w:rFonts w:ascii="Calibri" w:eastAsia="Calibri" w:hAnsi="Calibri" w:cs="Times New Roman"/>
          <w:lang w:val="en-GB" w:eastAsia="zh-CN"/>
        </w:rPr>
        <w:t>E</w:t>
      </w:r>
      <w:r w:rsidR="00A57564" w:rsidRPr="00E76739">
        <w:rPr>
          <w:rFonts w:ascii="Calibri" w:eastAsia="Calibri" w:hAnsi="Calibri" w:cs="Times New Roman"/>
          <w:lang w:val="en-GB" w:eastAsia="zh-CN"/>
        </w:rPr>
        <w:t xml:space="preserve">nvironmental </w:t>
      </w:r>
      <w:r w:rsidRPr="00E76739">
        <w:rPr>
          <w:rFonts w:ascii="Calibri" w:eastAsia="Calibri" w:hAnsi="Calibri" w:cs="Times New Roman"/>
          <w:lang w:val="en-GB" w:eastAsia="zh-CN"/>
        </w:rPr>
        <w:t xml:space="preserve">and </w:t>
      </w:r>
      <w:r w:rsidR="00A57564">
        <w:rPr>
          <w:rFonts w:ascii="Calibri" w:eastAsia="Calibri" w:hAnsi="Calibri" w:cs="Times New Roman"/>
          <w:lang w:val="en-GB" w:eastAsia="zh-CN"/>
        </w:rPr>
        <w:t>F</w:t>
      </w:r>
      <w:r w:rsidR="00A57564" w:rsidRPr="00E76739">
        <w:rPr>
          <w:rFonts w:ascii="Calibri" w:eastAsia="Calibri" w:hAnsi="Calibri" w:cs="Times New Roman"/>
          <w:lang w:val="en-GB" w:eastAsia="zh-CN"/>
        </w:rPr>
        <w:t xml:space="preserve">ood </w:t>
      </w:r>
      <w:r w:rsidR="00A57564">
        <w:rPr>
          <w:rFonts w:ascii="Calibri" w:eastAsia="Calibri" w:hAnsi="Calibri" w:cs="Times New Roman"/>
          <w:lang w:val="en-GB" w:eastAsia="zh-CN"/>
        </w:rPr>
        <w:t>S</w:t>
      </w:r>
      <w:r w:rsidR="00A57564" w:rsidRPr="00E76739">
        <w:rPr>
          <w:rFonts w:ascii="Calibri" w:eastAsia="Calibri" w:hAnsi="Calibri" w:cs="Times New Roman"/>
          <w:lang w:val="en-GB" w:eastAsia="zh-CN"/>
        </w:rPr>
        <w:t xml:space="preserve">afety </w:t>
      </w:r>
      <w:r w:rsidR="00A57564">
        <w:rPr>
          <w:rFonts w:ascii="Calibri" w:eastAsia="Calibri" w:hAnsi="Calibri" w:cs="Times New Roman"/>
          <w:lang w:val="en-GB" w:eastAsia="zh-CN"/>
        </w:rPr>
        <w:t>O</w:t>
      </w:r>
      <w:r w:rsidR="00A57564" w:rsidRPr="00E76739">
        <w:rPr>
          <w:rFonts w:ascii="Calibri" w:eastAsia="Calibri" w:hAnsi="Calibri" w:cs="Times New Roman"/>
          <w:lang w:val="en-GB" w:eastAsia="zh-CN"/>
        </w:rPr>
        <w:t xml:space="preserve">ffences </w:t>
      </w:r>
      <w:r w:rsidRPr="00E76739">
        <w:rPr>
          <w:rFonts w:ascii="Calibri" w:eastAsia="Calibri" w:hAnsi="Calibri" w:cs="Times New Roman"/>
          <w:lang w:val="en-GB" w:eastAsia="zh-CN"/>
        </w:rPr>
        <w:t xml:space="preserve">Prosecution Office (hereafter the FP) and the Regional </w:t>
      </w:r>
      <w:r w:rsidR="00A57564" w:rsidRPr="00E76739">
        <w:rPr>
          <w:rFonts w:ascii="Calibri" w:eastAsia="Calibri" w:hAnsi="Calibri" w:cs="Times New Roman"/>
          <w:lang w:val="en-GB" w:eastAsia="zh-CN"/>
        </w:rPr>
        <w:t>Prosecution</w:t>
      </w:r>
      <w:r w:rsidR="00A57564">
        <w:rPr>
          <w:rFonts w:ascii="Calibri" w:eastAsia="Calibri" w:hAnsi="Calibri" w:cs="Times New Roman"/>
          <w:lang w:val="en-GB" w:eastAsia="zh-CN"/>
        </w:rPr>
        <w:t>’</w:t>
      </w:r>
      <w:r w:rsidR="00A57564" w:rsidRPr="00E76739">
        <w:rPr>
          <w:rFonts w:ascii="Calibri" w:eastAsia="Calibri" w:hAnsi="Calibri" w:cs="Times New Roman"/>
          <w:lang w:val="en-GB" w:eastAsia="zh-CN"/>
        </w:rPr>
        <w:t xml:space="preserve">s </w:t>
      </w:r>
      <w:r w:rsidRPr="00E76739">
        <w:rPr>
          <w:rFonts w:ascii="Calibri" w:eastAsia="Calibri" w:hAnsi="Calibri" w:cs="Times New Roman"/>
          <w:lang w:val="en-GB" w:eastAsia="zh-CN"/>
        </w:rPr>
        <w:t xml:space="preserve">Offices (hereafter the APs) are under the </w:t>
      </w:r>
      <w:r w:rsidR="00A57564">
        <w:rPr>
          <w:rFonts w:ascii="Calibri" w:eastAsia="Calibri" w:hAnsi="Calibri" w:cs="Times New Roman"/>
          <w:lang w:val="en-GB" w:eastAsia="zh-CN"/>
        </w:rPr>
        <w:t>umbrella</w:t>
      </w:r>
      <w:r w:rsidR="00A5756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of </w:t>
      </w:r>
      <w:r w:rsidR="00A57564">
        <w:rPr>
          <w:rFonts w:ascii="Calibri" w:eastAsia="Calibri" w:hAnsi="Calibri" w:cs="Times New Roman"/>
          <w:lang w:val="en-GB" w:eastAsia="zh-CN"/>
        </w:rPr>
        <w:t xml:space="preserve">the </w:t>
      </w:r>
      <w:r w:rsidRPr="00E76739">
        <w:rPr>
          <w:rFonts w:ascii="Calibri" w:eastAsia="Calibri" w:hAnsi="Calibri" w:cs="Times New Roman"/>
          <w:lang w:val="en-GB" w:eastAsia="zh-CN"/>
        </w:rPr>
        <w:t xml:space="preserve">OM. There is no formal hierarchy between the LP, the FP and the APs. However, there is an informal hierarchy when it comes to specific crimes. The NPO formulates instructions on handling ML cases: </w:t>
      </w:r>
      <w:r w:rsidR="00A57564">
        <w:rPr>
          <w:rFonts w:ascii="Calibri" w:eastAsia="Calibri" w:hAnsi="Calibri" w:cs="Times New Roman"/>
          <w:lang w:val="en-GB" w:eastAsia="zh-CN"/>
        </w:rPr>
        <w:t>‘</w:t>
      </w:r>
      <w:r w:rsidR="00A57564" w:rsidRPr="003E5910">
        <w:rPr>
          <w:rFonts w:ascii="Calibri" w:eastAsia="Calibri" w:hAnsi="Calibri" w:cs="Times New Roman"/>
          <w:i/>
          <w:lang w:val="en-GB" w:eastAsia="zh-CN"/>
        </w:rPr>
        <w:t>aanwijzingwitwassen</w:t>
      </w:r>
      <w:r w:rsidR="00A57564">
        <w:rPr>
          <w:rFonts w:ascii="Calibri" w:eastAsia="Calibri" w:hAnsi="Calibri" w:cs="Times New Roman"/>
          <w:lang w:val="en-GB" w:eastAsia="zh-CN"/>
        </w:rPr>
        <w:t>’</w:t>
      </w:r>
      <w:r w:rsidRPr="00E76739">
        <w:rPr>
          <w:rFonts w:ascii="Calibri" w:eastAsia="Calibri" w:hAnsi="Calibri" w:cs="Times New Roman"/>
          <w:lang w:val="en-GB" w:eastAsia="zh-CN"/>
        </w:rPr>
        <w:t>. These are sent to the OM</w:t>
      </w:r>
      <w:r w:rsidR="00A57564">
        <w:rPr>
          <w:rFonts w:ascii="Calibri" w:eastAsia="Calibri" w:hAnsi="Calibri" w:cs="Times New Roman"/>
          <w:lang w:val="en-GB" w:eastAsia="zh-CN"/>
        </w:rPr>
        <w:t>,</w:t>
      </w:r>
      <w:r w:rsidRPr="00E76739">
        <w:rPr>
          <w:rFonts w:ascii="Calibri" w:eastAsia="Calibri" w:hAnsi="Calibri" w:cs="Times New Roman"/>
          <w:lang w:val="en-GB" w:eastAsia="zh-CN"/>
        </w:rPr>
        <w:t xml:space="preserve"> who thereafter issues instructions on handling ML cases that have to be implemented by the prosecutors at the APs. Nevertheless, every AP has to prosecute ML cases should they encounter them. </w:t>
      </w:r>
    </w:p>
    <w:p w14:paraId="6F7E438D" w14:textId="2F2FC4DF"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NPO attends weekly meetings at the FIU where matters concerning the STR database are discussed. On the issue of feedback, the prosecution cannot disclose </w:t>
      </w:r>
      <w:r w:rsidR="002F2681" w:rsidRPr="00E76739">
        <w:rPr>
          <w:rFonts w:ascii="Calibri" w:eastAsia="Calibri" w:hAnsi="Calibri" w:cs="Times New Roman"/>
          <w:lang w:val="en-GB" w:eastAsia="zh-CN"/>
        </w:rPr>
        <w:t>case</w:t>
      </w:r>
      <w:r w:rsidR="002F2681">
        <w:rPr>
          <w:rFonts w:ascii="Calibri" w:eastAsia="Calibri" w:hAnsi="Calibri" w:cs="Times New Roman"/>
          <w:lang w:val="en-GB" w:eastAsia="zh-CN"/>
        </w:rPr>
        <w:t>-</w:t>
      </w:r>
      <w:r w:rsidR="002F2681" w:rsidRPr="00E76739">
        <w:rPr>
          <w:rFonts w:ascii="Calibri" w:eastAsia="Calibri" w:hAnsi="Calibri" w:cs="Times New Roman"/>
          <w:lang w:val="en-GB" w:eastAsia="zh-CN"/>
        </w:rPr>
        <w:t>by</w:t>
      </w:r>
      <w:r w:rsidR="002F2681">
        <w:rPr>
          <w:rFonts w:ascii="Calibri" w:eastAsia="Calibri" w:hAnsi="Calibri" w:cs="Times New Roman"/>
          <w:lang w:val="en-GB" w:eastAsia="zh-CN"/>
        </w:rPr>
        <w:t>-</w:t>
      </w:r>
      <w:r w:rsidRPr="00E76739">
        <w:rPr>
          <w:rFonts w:ascii="Calibri" w:eastAsia="Calibri" w:hAnsi="Calibri" w:cs="Times New Roman"/>
          <w:lang w:val="en-GB" w:eastAsia="zh-CN"/>
        </w:rPr>
        <w:t xml:space="preserve">case information to the FIU on how their information has </w:t>
      </w:r>
      <w:r w:rsidR="002F2681" w:rsidRPr="002F2681">
        <w:rPr>
          <w:rFonts w:ascii="Calibri" w:eastAsia="Calibri" w:hAnsi="Calibri" w:cs="Times New Roman"/>
          <w:lang w:val="en-GB" w:eastAsia="zh-CN"/>
        </w:rPr>
        <w:t xml:space="preserve">later </w:t>
      </w:r>
      <w:r w:rsidRPr="00E76739">
        <w:rPr>
          <w:rFonts w:ascii="Calibri" w:eastAsia="Calibri" w:hAnsi="Calibri" w:cs="Times New Roman"/>
          <w:lang w:val="en-GB" w:eastAsia="zh-CN"/>
        </w:rPr>
        <w:t xml:space="preserve">been used in the criminal investigation. Feedback nevertheless is given on the issue of typologies, the usefulness of STRs, whether they were complete etc. According to the FP representative, feedback is generally given in an informal way and cooperation between the FIU and the FP is very good. Furthermore, the FIU also receives feedback from the </w:t>
      </w:r>
      <w:r w:rsidR="002F2681" w:rsidRPr="00E76739">
        <w:rPr>
          <w:rFonts w:ascii="Calibri" w:eastAsia="Calibri" w:hAnsi="Calibri" w:cs="Times New Roman"/>
          <w:lang w:val="en-GB" w:eastAsia="zh-CN"/>
        </w:rPr>
        <w:t>speciali</w:t>
      </w:r>
      <w:r w:rsidR="002F2681">
        <w:rPr>
          <w:rFonts w:ascii="Calibri" w:eastAsia="Calibri" w:hAnsi="Calibri" w:cs="Times New Roman"/>
          <w:lang w:val="en-GB" w:eastAsia="zh-CN"/>
        </w:rPr>
        <w:t>z</w:t>
      </w:r>
      <w:r w:rsidR="002F2681"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investigation authorities and from the police through the liaison officers it employs.</w:t>
      </w:r>
    </w:p>
    <w:p w14:paraId="59F25B47" w14:textId="56A078B3" w:rsidR="00E76739" w:rsidRPr="00E76739" w:rsidRDefault="00E76739" w:rsidP="00E76739">
      <w:pPr>
        <w:spacing w:after="0" w:line="240" w:lineRule="auto"/>
        <w:jc w:val="center"/>
        <w:rPr>
          <w:rFonts w:ascii="Calibri" w:eastAsia="SimSun" w:hAnsi="Calibri" w:cs="Times New Roman"/>
          <w:b/>
          <w:lang w:val="en-GB" w:eastAsia="zh-CN"/>
        </w:rPr>
      </w:pPr>
      <w:bookmarkStart w:id="79" w:name="_Toc350517110"/>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420F8F" w:rsidRPr="00E76739">
        <w:rPr>
          <w:rFonts w:ascii="Calibri" w:eastAsia="SimSun" w:hAnsi="Calibri" w:cs="Times New Roman"/>
          <w:b/>
          <w:lang w:val="en-GB" w:eastAsia="zh-CN"/>
        </w:rPr>
        <w:t>2</w:t>
      </w:r>
      <w:r w:rsidR="00420F8F">
        <w:rPr>
          <w:rFonts w:ascii="Calibri" w:eastAsia="SimSun" w:hAnsi="Calibri" w:cs="Times New Roman"/>
          <w:b/>
          <w:lang w:val="en-GB" w:eastAsia="zh-CN"/>
        </w:rPr>
        <w:t>3</w:t>
      </w:r>
      <w:r w:rsidRPr="00E76739">
        <w:rPr>
          <w:rFonts w:ascii="Calibri" w:eastAsia="SimSun" w:hAnsi="Calibri" w:cs="Times New Roman"/>
          <w:b/>
          <w:lang w:val="en-GB" w:eastAsia="zh-CN"/>
        </w:rPr>
        <w:t xml:space="preserve">: AML/CTF Information flows in the </w:t>
      </w:r>
      <w:commentRangeStart w:id="80"/>
      <w:r w:rsidRPr="00E76739">
        <w:rPr>
          <w:rFonts w:ascii="Calibri" w:eastAsia="SimSun" w:hAnsi="Calibri" w:cs="Times New Roman"/>
          <w:b/>
          <w:lang w:val="en-GB" w:eastAsia="zh-CN"/>
        </w:rPr>
        <w:t>Netherlands</w:t>
      </w:r>
      <w:bookmarkEnd w:id="79"/>
      <w:commentRangeEnd w:id="80"/>
      <w:r w:rsidR="002F2681">
        <w:rPr>
          <w:rStyle w:val="CommentReference"/>
        </w:rPr>
        <w:commentReference w:id="80"/>
      </w:r>
    </w:p>
    <w:p w14:paraId="41A4A8A8" w14:textId="77777777" w:rsidR="00E76739" w:rsidRPr="00E76739" w:rsidRDefault="00E76739" w:rsidP="00E76739">
      <w:pPr>
        <w:spacing w:after="0" w:line="240" w:lineRule="auto"/>
        <w:jc w:val="both"/>
        <w:rPr>
          <w:rFonts w:ascii="Calibri" w:eastAsia="SimSun" w:hAnsi="Calibri" w:cs="Times New Roman"/>
          <w:b/>
          <w:lang w:val="en-GB" w:eastAsia="zh-CN"/>
        </w:rPr>
      </w:pPr>
    </w:p>
    <w:p w14:paraId="64E70427" w14:textId="77777777" w:rsidR="00E76739" w:rsidRPr="00E76739" w:rsidRDefault="00E76739" w:rsidP="00E76739">
      <w:pPr>
        <w:spacing w:after="0" w:line="240" w:lineRule="auto"/>
        <w:jc w:val="both"/>
        <w:rPr>
          <w:rFonts w:ascii="Calibri" w:eastAsia="Calibri" w:hAnsi="Calibri" w:cs="Times New Roman"/>
          <w:b/>
          <w:u w:val="single"/>
          <w:lang w:val="en-GB" w:eastAsia="zh-CN"/>
        </w:rPr>
      </w:pPr>
      <w:r w:rsidRPr="00E76739">
        <w:rPr>
          <w:rFonts w:ascii="Calibri" w:eastAsia="Calibri" w:hAnsi="Calibri" w:cs="Times New Roman"/>
          <w:b/>
          <w:noProof/>
          <w:lang w:val="en-US" w:eastAsia="en-US"/>
        </w:rPr>
        <w:drawing>
          <wp:inline distT="0" distB="0" distL="0" distR="0" wp14:anchorId="48FA2DBF" wp14:editId="40B9CD48">
            <wp:extent cx="5200650" cy="3076575"/>
            <wp:effectExtent l="0" t="0" r="0" b="9525"/>
            <wp:docPr id="36" name="Picture 153" descr="NetherlandsInformationFlow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etherlandsInformationFlows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l="3889" t="7967" r="4088" b="22820"/>
                    <a:stretch>
                      <a:fillRect/>
                    </a:stretch>
                  </pic:blipFill>
                  <pic:spPr bwMode="auto">
                    <a:xfrm>
                      <a:off x="0" y="0"/>
                      <a:ext cx="5200650" cy="3076575"/>
                    </a:xfrm>
                    <a:prstGeom prst="rect">
                      <a:avLst/>
                    </a:prstGeom>
                    <a:noFill/>
                    <a:ln>
                      <a:noFill/>
                    </a:ln>
                  </pic:spPr>
                </pic:pic>
              </a:graphicData>
            </a:graphic>
          </wp:inline>
        </w:drawing>
      </w:r>
    </w:p>
    <w:p w14:paraId="0D97452E" w14:textId="54F4FFEF" w:rsidR="00E76739" w:rsidRPr="00E76739" w:rsidRDefault="00E76739" w:rsidP="00E76739">
      <w:pPr>
        <w:spacing w:after="240" w:line="240" w:lineRule="auto"/>
        <w:jc w:val="both"/>
        <w:rPr>
          <w:rFonts w:ascii="Calibri" w:eastAsia="Calibri" w:hAnsi="Calibri" w:cs="Times New Roman"/>
          <w:i/>
          <w:sz w:val="20"/>
          <w:szCs w:val="20"/>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366E14">
        <w:rPr>
          <w:rFonts w:ascii="Calibri" w:eastAsia="Calibri" w:hAnsi="Calibri" w:cs="Times New Roman"/>
          <w:i/>
          <w:sz w:val="20"/>
          <w:szCs w:val="20"/>
          <w:lang w:val="en-GB" w:eastAsia="zh-CN"/>
        </w:rPr>
        <w:t>both</w:t>
      </w:r>
      <w:r w:rsidR="00366E14"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366E14" w:rsidRPr="00E76739">
        <w:rPr>
          <w:rFonts w:ascii="Calibri" w:eastAsia="Calibri" w:hAnsi="Calibri" w:cs="Times New Roman"/>
          <w:i/>
          <w:sz w:val="20"/>
          <w:szCs w:val="20"/>
          <w:lang w:val="en-GB" w:eastAsia="zh-CN"/>
        </w:rPr>
        <w:t>speciali</w:t>
      </w:r>
      <w:r w:rsidR="00366E14">
        <w:rPr>
          <w:rFonts w:ascii="Calibri" w:eastAsia="Calibri" w:hAnsi="Calibri" w:cs="Times New Roman"/>
          <w:i/>
          <w:sz w:val="20"/>
          <w:szCs w:val="20"/>
          <w:lang w:val="en-GB" w:eastAsia="zh-CN"/>
        </w:rPr>
        <w:t>z</w:t>
      </w:r>
      <w:r w:rsidR="00366E14"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 xml:space="preserve">in dealing with ML/TF cases. Pink clouds designate the ML/TF database simultaneously available to multiple agencies (law enforcement and FIU) </w:t>
      </w:r>
      <w:r w:rsidR="004921B6">
        <w:rPr>
          <w:rFonts w:ascii="Calibri" w:eastAsia="Calibri" w:hAnsi="Calibri" w:cs="Times New Roman"/>
          <w:i/>
          <w:sz w:val="20"/>
          <w:szCs w:val="20"/>
          <w:lang w:val="en-GB" w:eastAsia="zh-CN"/>
        </w:rPr>
        <w:t>which</w:t>
      </w:r>
      <w:r w:rsidR="004921B6"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is commonly used as </w:t>
      </w:r>
      <w:r w:rsidR="00366E14">
        <w:rPr>
          <w:rFonts w:ascii="Calibri" w:eastAsia="Calibri" w:hAnsi="Calibri" w:cs="Times New Roman"/>
          <w:i/>
          <w:sz w:val="20"/>
          <w:szCs w:val="20"/>
          <w:lang w:val="en-GB" w:eastAsia="zh-CN"/>
        </w:rPr>
        <w:t xml:space="preserve">the </w:t>
      </w:r>
      <w:r w:rsidR="00366E14" w:rsidRPr="00E76739">
        <w:rPr>
          <w:rFonts w:ascii="Calibri" w:eastAsia="Calibri" w:hAnsi="Calibri" w:cs="Times New Roman"/>
          <w:i/>
          <w:sz w:val="20"/>
          <w:szCs w:val="20"/>
          <w:lang w:val="en-GB" w:eastAsia="zh-CN"/>
        </w:rPr>
        <w:t>depart</w:t>
      </w:r>
      <w:r w:rsidR="00366E14">
        <w:rPr>
          <w:rFonts w:ascii="Calibri" w:eastAsia="Calibri" w:hAnsi="Calibri" w:cs="Times New Roman"/>
          <w:i/>
          <w:sz w:val="20"/>
          <w:szCs w:val="20"/>
          <w:lang w:val="en-GB" w:eastAsia="zh-CN"/>
        </w:rPr>
        <w:t>ure</w:t>
      </w:r>
      <w:r w:rsidR="00366E14"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point for ML/TF criminal investigations.</w:t>
      </w:r>
    </w:p>
    <w:p w14:paraId="7F45B698" w14:textId="0035183E"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the Netherlands there are several </w:t>
      </w:r>
      <w:r w:rsidR="00C5094A" w:rsidRPr="00E76739">
        <w:rPr>
          <w:rFonts w:ascii="Calibri" w:eastAsia="Calibri" w:hAnsi="Calibri" w:cs="Times New Roman"/>
          <w:lang w:val="en-GB" w:eastAsia="zh-CN"/>
        </w:rPr>
        <w:t>speciali</w:t>
      </w:r>
      <w:r w:rsidR="00C5094A">
        <w:rPr>
          <w:rFonts w:ascii="Calibri" w:eastAsia="Calibri" w:hAnsi="Calibri" w:cs="Times New Roman"/>
          <w:lang w:val="en-GB" w:eastAsia="zh-CN"/>
        </w:rPr>
        <w:t>z</w:t>
      </w:r>
      <w:r w:rsidR="00C5094A"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investigative authorities: the FIOD is a subdivision of the Tax and Customs Administration and focuses on fraud, </w:t>
      </w:r>
      <w:r w:rsidR="00C5094A" w:rsidRPr="00E76739">
        <w:rPr>
          <w:rFonts w:ascii="Calibri" w:eastAsia="Calibri" w:hAnsi="Calibri" w:cs="Times New Roman"/>
          <w:lang w:val="en-GB" w:eastAsia="zh-CN"/>
        </w:rPr>
        <w:t>organi</w:t>
      </w:r>
      <w:r w:rsidR="00C5094A">
        <w:rPr>
          <w:rFonts w:ascii="Calibri" w:eastAsia="Calibri" w:hAnsi="Calibri" w:cs="Times New Roman"/>
          <w:lang w:val="en-GB" w:eastAsia="zh-CN"/>
        </w:rPr>
        <w:t>z</w:t>
      </w:r>
      <w:r w:rsidR="00C5094A"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crime and the financing of terrorism. The National Crime </w:t>
      </w:r>
      <w:r w:rsidR="00C5094A">
        <w:rPr>
          <w:rFonts w:ascii="Calibri" w:eastAsia="Calibri" w:hAnsi="Calibri" w:cs="Times New Roman"/>
          <w:lang w:val="en-GB" w:eastAsia="zh-CN"/>
        </w:rPr>
        <w:t>S</w:t>
      </w:r>
      <w:r w:rsidR="00C5094A" w:rsidRPr="00E76739">
        <w:rPr>
          <w:rFonts w:ascii="Calibri" w:eastAsia="Calibri" w:hAnsi="Calibri" w:cs="Times New Roman"/>
          <w:lang w:val="en-GB" w:eastAsia="zh-CN"/>
        </w:rPr>
        <w:t xml:space="preserve">quad </w:t>
      </w:r>
      <w:r w:rsidRPr="00E76739">
        <w:rPr>
          <w:rFonts w:ascii="Calibri" w:eastAsia="Calibri" w:hAnsi="Calibri" w:cs="Times New Roman"/>
          <w:lang w:val="en-GB" w:eastAsia="zh-CN"/>
        </w:rPr>
        <w:t xml:space="preserve">(DNR) is a unit of the national police force and is responsible for combating </w:t>
      </w:r>
      <w:r w:rsidR="00C5094A" w:rsidRPr="00E76739">
        <w:rPr>
          <w:rFonts w:ascii="Calibri" w:eastAsia="Calibri" w:hAnsi="Calibri" w:cs="Times New Roman"/>
          <w:lang w:val="en-GB" w:eastAsia="zh-CN"/>
        </w:rPr>
        <w:t>organi</w:t>
      </w:r>
      <w:r w:rsidR="00C5094A">
        <w:rPr>
          <w:rFonts w:ascii="Calibri" w:eastAsia="Calibri" w:hAnsi="Calibri" w:cs="Times New Roman"/>
          <w:lang w:val="en-GB" w:eastAsia="zh-CN"/>
        </w:rPr>
        <w:t>z</w:t>
      </w:r>
      <w:r w:rsidR="00C5094A"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crime and serious crime. DNR carries out all its investigations under the authority of the LP or of the FP</w:t>
      </w:r>
      <w:r w:rsidR="00C5094A">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55"/>
      </w:r>
    </w:p>
    <w:p w14:paraId="307AF0F6" w14:textId="7A17E980"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FP, LP, FIOD and NR work together on ML cases. All parties have earmarked capacity for ML cases. Members of all parties sit together in a Selection and Signalling Council </w:t>
      </w:r>
      <w:r w:rsidR="00C5094A">
        <w:rPr>
          <w:rFonts w:ascii="Calibri" w:eastAsia="Calibri" w:hAnsi="Calibri" w:cs="Times New Roman"/>
          <w:lang w:val="en-GB" w:eastAsia="zh-CN"/>
        </w:rPr>
        <w:t>‘</w:t>
      </w:r>
      <w:r w:rsidR="00C5094A" w:rsidRPr="00E76739">
        <w:rPr>
          <w:rFonts w:ascii="Calibri" w:eastAsia="Calibri" w:hAnsi="Calibri" w:cs="Times New Roman"/>
          <w:lang w:val="en-GB" w:eastAsia="zh-CN"/>
        </w:rPr>
        <w:t>S</w:t>
      </w:r>
      <w:r w:rsidRPr="00E76739">
        <w:rPr>
          <w:rFonts w:ascii="Calibri" w:eastAsia="Calibri" w:hAnsi="Calibri" w:cs="Times New Roman"/>
          <w:lang w:val="en-GB" w:eastAsia="zh-CN"/>
        </w:rPr>
        <w:t xml:space="preserve">&amp;S </w:t>
      </w:r>
      <w:r w:rsidR="00C5094A" w:rsidRPr="00E76739">
        <w:rPr>
          <w:rFonts w:ascii="Calibri" w:eastAsia="Calibri" w:hAnsi="Calibri" w:cs="Times New Roman"/>
          <w:lang w:val="en-GB" w:eastAsia="zh-CN"/>
        </w:rPr>
        <w:t>overleg</w:t>
      </w:r>
      <w:r w:rsidR="00C5094A">
        <w:rPr>
          <w:rFonts w:ascii="Calibri" w:eastAsia="Calibri" w:hAnsi="Calibri" w:cs="Times New Roman"/>
          <w:lang w:val="en-GB" w:eastAsia="zh-CN"/>
        </w:rPr>
        <w:t>’</w:t>
      </w:r>
      <w:r w:rsidR="00C5094A"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(hereafter the S&amp;S </w:t>
      </w:r>
      <w:r w:rsidR="00F06882">
        <w:rPr>
          <w:rFonts w:ascii="Calibri" w:eastAsia="Calibri" w:hAnsi="Calibri" w:cs="Times New Roman"/>
          <w:lang w:val="en-GB" w:eastAsia="zh-CN"/>
        </w:rPr>
        <w:t>C</w:t>
      </w:r>
      <w:r w:rsidR="00F06882" w:rsidRPr="00E76739">
        <w:rPr>
          <w:rFonts w:ascii="Calibri" w:eastAsia="Calibri" w:hAnsi="Calibri" w:cs="Times New Roman"/>
          <w:lang w:val="en-GB" w:eastAsia="zh-CN"/>
        </w:rPr>
        <w:t>ouncil</w:t>
      </w:r>
      <w:r w:rsidRPr="00E76739">
        <w:rPr>
          <w:rFonts w:ascii="Calibri" w:eastAsia="Calibri" w:hAnsi="Calibri" w:cs="Times New Roman"/>
          <w:lang w:val="en-GB" w:eastAsia="zh-CN"/>
        </w:rPr>
        <w:t>). The role of the S&amp;S Council is to scan all sources of information (the STR database, cash/drugs police confiscations, MLA requests, information provided by the tax authorities etc</w:t>
      </w:r>
      <w:r w:rsidR="00F06882">
        <w:rPr>
          <w:rFonts w:ascii="Calibri" w:eastAsia="Calibri" w:hAnsi="Calibri" w:cs="Times New Roman"/>
          <w:lang w:val="en-GB" w:eastAsia="zh-CN"/>
        </w:rPr>
        <w:t>.</w:t>
      </w:r>
      <w:r w:rsidRPr="00E76739">
        <w:rPr>
          <w:rFonts w:ascii="Calibri" w:eastAsia="Calibri" w:hAnsi="Calibri" w:cs="Times New Roman"/>
          <w:lang w:val="en-GB" w:eastAsia="zh-CN"/>
        </w:rPr>
        <w:t>) and to detect possible ML cases. According to the FP representative, the financial analysts sitting in this council are often capable of detecting complicated financial structures and transform many STRs into successful prosecutions. Additionally, another important role of the S&amp;S Council is to distribute ML cases to the most competent authorities, given the nature of the cases.</w:t>
      </w:r>
    </w:p>
    <w:p w14:paraId="777ADE10" w14:textId="0265D32F"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According to the LP representative, APs do not receive their information from the S&amp;S Council. Furthermore, not all criminal investigations in the Netherlands have an STR </w:t>
      </w:r>
      <w:r w:rsidR="00E55622" w:rsidRPr="00E76739">
        <w:rPr>
          <w:rFonts w:ascii="Calibri" w:eastAsia="Calibri" w:hAnsi="Calibri" w:cs="Times New Roman"/>
          <w:lang w:val="en-GB" w:eastAsia="zh-CN"/>
        </w:rPr>
        <w:t>a</w:t>
      </w:r>
      <w:r w:rsidR="00E55622">
        <w:rPr>
          <w:rFonts w:ascii="Calibri" w:eastAsia="Calibri" w:hAnsi="Calibri" w:cs="Times New Roman"/>
          <w:lang w:val="en-GB" w:eastAsia="zh-CN"/>
        </w:rPr>
        <w:t>s</w:t>
      </w:r>
      <w:r w:rsidR="00E55622"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their basis. Informants are a valuable source of information on which the prosecution can build a criminal investigation. </w:t>
      </w:r>
    </w:p>
    <w:p w14:paraId="3FA5FDB4" w14:textId="273DE1FE"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In general, the APs prosecute the ML offence as well as the predicate offence. The LP and the FP</w:t>
      </w:r>
      <w:r w:rsidR="00E55622">
        <w:rPr>
          <w:rFonts w:ascii="Calibri" w:eastAsia="Calibri" w:hAnsi="Calibri" w:cs="Times New Roman"/>
          <w:lang w:val="en-GB" w:eastAsia="zh-CN"/>
        </w:rPr>
        <w:t>,</w:t>
      </w:r>
      <w:r w:rsidRPr="00E76739">
        <w:rPr>
          <w:rFonts w:ascii="Calibri" w:eastAsia="Calibri" w:hAnsi="Calibri" w:cs="Times New Roman"/>
          <w:lang w:val="en-GB" w:eastAsia="zh-CN"/>
        </w:rPr>
        <w:t xml:space="preserve"> however</w:t>
      </w:r>
      <w:r w:rsidR="00E55622">
        <w:rPr>
          <w:rFonts w:ascii="Calibri" w:eastAsia="Calibri" w:hAnsi="Calibri" w:cs="Times New Roman"/>
          <w:lang w:val="en-GB" w:eastAsia="zh-CN"/>
        </w:rPr>
        <w:t>,</w:t>
      </w:r>
      <w:r w:rsidRPr="00E76739">
        <w:rPr>
          <w:rFonts w:ascii="Calibri" w:eastAsia="Calibri" w:hAnsi="Calibri" w:cs="Times New Roman"/>
          <w:lang w:val="en-GB" w:eastAsia="zh-CN"/>
        </w:rPr>
        <w:t xml:space="preserve"> focus on more specific crimes. According to the LP representative, the LP handles investigations involving large drug cartels and human trafficking and the financing of terrorism. The FP</w:t>
      </w:r>
      <w:r w:rsidR="00E55622">
        <w:rPr>
          <w:rFonts w:ascii="Calibri" w:eastAsia="Calibri" w:hAnsi="Calibri" w:cs="Times New Roman"/>
          <w:lang w:val="en-GB" w:eastAsia="zh-CN"/>
        </w:rPr>
        <w:t>,</w:t>
      </w:r>
      <w:r w:rsidRPr="00E76739">
        <w:rPr>
          <w:rFonts w:ascii="Calibri" w:eastAsia="Calibri" w:hAnsi="Calibri" w:cs="Times New Roman"/>
          <w:lang w:val="en-GB" w:eastAsia="zh-CN"/>
        </w:rPr>
        <w:t xml:space="preserve"> however</w:t>
      </w:r>
      <w:r w:rsidR="00E55622">
        <w:rPr>
          <w:rFonts w:ascii="Calibri" w:eastAsia="Calibri" w:hAnsi="Calibri" w:cs="Times New Roman"/>
          <w:lang w:val="en-GB" w:eastAsia="zh-CN"/>
        </w:rPr>
        <w:t>,</w:t>
      </w:r>
      <w:r w:rsidRPr="00E76739">
        <w:rPr>
          <w:rFonts w:ascii="Calibri" w:eastAsia="Calibri" w:hAnsi="Calibri" w:cs="Times New Roman"/>
          <w:lang w:val="en-GB" w:eastAsia="zh-CN"/>
        </w:rPr>
        <w:t xml:space="preserve"> focuses on financial and economic crimes. With respect to ML, both the LP and the FP focus only on the ML prosecution, so in this sense are </w:t>
      </w:r>
      <w:r w:rsidR="00E55622" w:rsidRPr="00E76739">
        <w:rPr>
          <w:rFonts w:ascii="Calibri" w:eastAsia="Calibri" w:hAnsi="Calibri" w:cs="Times New Roman"/>
          <w:lang w:val="en-GB" w:eastAsia="zh-CN"/>
        </w:rPr>
        <w:t>speciali</w:t>
      </w:r>
      <w:r w:rsidR="00E55622">
        <w:rPr>
          <w:rFonts w:ascii="Calibri" w:eastAsia="Calibri" w:hAnsi="Calibri" w:cs="Times New Roman"/>
          <w:lang w:val="en-GB" w:eastAsia="zh-CN"/>
        </w:rPr>
        <w:t>z</w:t>
      </w:r>
      <w:r w:rsidR="00E55622"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units </w:t>
      </w:r>
      <w:r w:rsidR="00E55622">
        <w:rPr>
          <w:rFonts w:ascii="Calibri" w:eastAsia="Calibri" w:hAnsi="Calibri" w:cs="Times New Roman"/>
          <w:lang w:val="en-GB" w:eastAsia="zh-CN"/>
        </w:rPr>
        <w:t>for</w:t>
      </w:r>
      <w:r w:rsidR="00E55622" w:rsidRPr="00E76739">
        <w:rPr>
          <w:rFonts w:ascii="Calibri" w:eastAsia="Calibri" w:hAnsi="Calibri" w:cs="Times New Roman"/>
          <w:lang w:val="en-GB" w:eastAsia="zh-CN"/>
        </w:rPr>
        <w:t xml:space="preserve"> handl</w:t>
      </w:r>
      <w:r w:rsidR="00E55622">
        <w:rPr>
          <w:rFonts w:ascii="Calibri" w:eastAsia="Calibri" w:hAnsi="Calibri" w:cs="Times New Roman"/>
          <w:lang w:val="en-GB" w:eastAsia="zh-CN"/>
        </w:rPr>
        <w:t>ing</w:t>
      </w:r>
      <w:r w:rsidR="00E55622"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ML cases. There are eight teams (approximately 140 detectives) working only on ML cases under the supervision of the LP and of the FP. The DNR has a dynamic team focusing on underground finances, and two focusing on large drug cases. The FIOD has among other</w:t>
      </w:r>
      <w:r w:rsidR="00E55622">
        <w:rPr>
          <w:rFonts w:ascii="Calibri" w:eastAsia="Calibri" w:hAnsi="Calibri" w:cs="Times New Roman"/>
          <w:lang w:val="en-GB" w:eastAsia="zh-CN"/>
        </w:rPr>
        <w:t xml:space="preserve"> thing</w:t>
      </w:r>
      <w:r w:rsidRPr="00E76739">
        <w:rPr>
          <w:rFonts w:ascii="Calibri" w:eastAsia="Calibri" w:hAnsi="Calibri" w:cs="Times New Roman"/>
          <w:lang w:val="en-GB" w:eastAsia="zh-CN"/>
        </w:rPr>
        <w:t>s a team handling drugs at the largest airport, Schiphol, and teams that do not focus only on ML cases. Furthermore, there are COMBI teams where the DNR and the FIOD work together</w:t>
      </w:r>
      <w:r w:rsidR="00E55622">
        <w:rPr>
          <w:rFonts w:ascii="Calibri" w:eastAsia="Calibri" w:hAnsi="Calibri" w:cs="Times New Roman"/>
          <w:lang w:val="en-GB" w:eastAsia="zh-CN"/>
        </w:rPr>
        <w:t>,</w:t>
      </w:r>
      <w:r w:rsidRPr="00E76739">
        <w:rPr>
          <w:rFonts w:ascii="Calibri" w:eastAsia="Calibri" w:hAnsi="Calibri" w:cs="Times New Roman"/>
          <w:lang w:val="en-GB" w:eastAsia="zh-CN"/>
        </w:rPr>
        <w:t xml:space="preserve"> </w:t>
      </w:r>
      <w:r w:rsidR="00E55622">
        <w:rPr>
          <w:rFonts w:ascii="Calibri" w:eastAsia="Calibri" w:hAnsi="Calibri" w:cs="Times New Roman"/>
          <w:lang w:val="en-GB" w:eastAsia="zh-CN"/>
        </w:rPr>
        <w:t>which</w:t>
      </w:r>
      <w:r w:rsidR="00E55622"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are </w:t>
      </w:r>
      <w:r w:rsidR="00E55622" w:rsidRPr="00E55622">
        <w:rPr>
          <w:rFonts w:ascii="Calibri" w:eastAsia="Calibri" w:hAnsi="Calibri" w:cs="Times New Roman"/>
          <w:lang w:val="en-GB" w:eastAsia="zh-CN"/>
        </w:rPr>
        <w:t xml:space="preserve">mainly </w:t>
      </w:r>
      <w:r w:rsidRPr="00E76739">
        <w:rPr>
          <w:rFonts w:ascii="Calibri" w:eastAsia="Calibri" w:hAnsi="Calibri" w:cs="Times New Roman"/>
          <w:lang w:val="en-GB" w:eastAsia="zh-CN"/>
        </w:rPr>
        <w:t xml:space="preserve">targeted at investigating and prosecuting facilitators. </w:t>
      </w:r>
    </w:p>
    <w:p w14:paraId="5E02BFD3" w14:textId="509FEC04"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On the issue of the way ML </w:t>
      </w:r>
      <w:r w:rsidR="00E55622" w:rsidRPr="00E76739">
        <w:rPr>
          <w:rFonts w:ascii="Calibri" w:eastAsia="Calibri" w:hAnsi="Calibri" w:cs="Times New Roman"/>
          <w:lang w:val="en-GB" w:eastAsia="zh-CN"/>
        </w:rPr>
        <w:t>speciali</w:t>
      </w:r>
      <w:r w:rsidR="00E55622">
        <w:rPr>
          <w:rFonts w:ascii="Calibri" w:eastAsia="Calibri" w:hAnsi="Calibri" w:cs="Times New Roman"/>
          <w:lang w:val="en-GB" w:eastAsia="zh-CN"/>
        </w:rPr>
        <w:t>z</w:t>
      </w:r>
      <w:r w:rsidR="00E55622" w:rsidRPr="00E76739">
        <w:rPr>
          <w:rFonts w:ascii="Calibri" w:eastAsia="Calibri" w:hAnsi="Calibri" w:cs="Times New Roman"/>
          <w:lang w:val="en-GB" w:eastAsia="zh-CN"/>
        </w:rPr>
        <w:t xml:space="preserve">ation </w:t>
      </w:r>
      <w:r w:rsidRPr="00E76739">
        <w:rPr>
          <w:rFonts w:ascii="Calibri" w:eastAsia="Calibri" w:hAnsi="Calibri" w:cs="Times New Roman"/>
          <w:lang w:val="en-GB" w:eastAsia="zh-CN"/>
        </w:rPr>
        <w:t>of the judiciary</w:t>
      </w:r>
      <w:r w:rsidR="00E55622">
        <w:rPr>
          <w:rFonts w:ascii="Calibri" w:eastAsia="Calibri" w:hAnsi="Calibri" w:cs="Times New Roman"/>
          <w:lang w:val="en-GB" w:eastAsia="zh-CN"/>
        </w:rPr>
        <w:t xml:space="preserve"> is achieved</w:t>
      </w:r>
      <w:r w:rsidRPr="00E76739">
        <w:rPr>
          <w:rFonts w:ascii="Calibri" w:eastAsia="Calibri" w:hAnsi="Calibri" w:cs="Times New Roman"/>
          <w:lang w:val="en-GB" w:eastAsia="zh-CN"/>
        </w:rPr>
        <w:t>, this is mostly done in a learning-by-doing manner. Prosecutors and judges can also attend courses on financial investigations, where ML is also discussed. According to the FP representative, in the Netherlands, every prosecutor should be able to prosecute ML cases. A financial background is useful in understanding financial sheets but is not a requirement once there is competent complementary financial advice, i.e. as long as financial experts can make the bookkeeping investigations.</w:t>
      </w:r>
      <w:r w:rsidR="00DA07F4">
        <w:rPr>
          <w:rFonts w:ascii="Calibri" w:eastAsia="Calibri" w:hAnsi="Calibri" w:cs="Times New Roman"/>
          <w:lang w:val="en-GB" w:eastAsia="zh-CN"/>
        </w:rPr>
        <w:t xml:space="preserve"> </w:t>
      </w:r>
    </w:p>
    <w:p w14:paraId="2A85EEE6" w14:textId="7B40AF03"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approval of an examining magistrate (</w:t>
      </w:r>
      <w:r w:rsidR="00246BD4">
        <w:rPr>
          <w:rFonts w:ascii="Calibri" w:eastAsia="Calibri" w:hAnsi="Calibri" w:cs="Times New Roman"/>
          <w:lang w:val="en-GB" w:eastAsia="zh-CN"/>
        </w:rPr>
        <w:t>‘</w:t>
      </w:r>
      <w:r w:rsidR="00246BD4" w:rsidRPr="003E5910">
        <w:rPr>
          <w:rFonts w:ascii="Calibri" w:eastAsia="Calibri" w:hAnsi="Calibri" w:cs="Times New Roman"/>
          <w:i/>
          <w:lang w:val="en-GB" w:eastAsia="zh-CN"/>
        </w:rPr>
        <w:t>rechtercommissaris</w:t>
      </w:r>
      <w:r w:rsidR="00246BD4">
        <w:rPr>
          <w:rFonts w:ascii="Calibri" w:eastAsia="Calibri" w:hAnsi="Calibri" w:cs="Times New Roman"/>
          <w:lang w:val="en-GB" w:eastAsia="zh-CN"/>
        </w:rPr>
        <w:t>’</w:t>
      </w:r>
      <w:r w:rsidRPr="00E76739">
        <w:rPr>
          <w:rFonts w:ascii="Calibri" w:eastAsia="Calibri" w:hAnsi="Calibri" w:cs="Times New Roman"/>
          <w:lang w:val="en-GB" w:eastAsia="zh-CN"/>
        </w:rPr>
        <w:t xml:space="preserve">) is required if the prosecution wants to make use of certain special investigative techniques: questioning of witnesses </w:t>
      </w:r>
      <w:r w:rsidR="00246BD4">
        <w:rPr>
          <w:rFonts w:ascii="Calibri" w:eastAsia="Calibri" w:hAnsi="Calibri" w:cs="Times New Roman"/>
          <w:lang w:val="en-GB" w:eastAsia="zh-CN"/>
        </w:rPr>
        <w:t>who</w:t>
      </w:r>
      <w:r w:rsidR="00246BD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do not want to give a statement to the police, recording confidential information, investigating telecommunications and gathering information covered by professional secrecy from notaries and lawyers. Cooperation with examining magistrates is, according to the FP representative, easy and fast. Examining magistrates are not </w:t>
      </w:r>
      <w:r w:rsidR="00246BD4" w:rsidRPr="00E76739">
        <w:rPr>
          <w:rFonts w:ascii="Calibri" w:eastAsia="Calibri" w:hAnsi="Calibri" w:cs="Times New Roman"/>
          <w:lang w:val="en-GB" w:eastAsia="zh-CN"/>
        </w:rPr>
        <w:t>speciali</w:t>
      </w:r>
      <w:r w:rsidR="00246BD4">
        <w:rPr>
          <w:rFonts w:ascii="Calibri" w:eastAsia="Calibri" w:hAnsi="Calibri" w:cs="Times New Roman"/>
          <w:lang w:val="en-GB" w:eastAsia="zh-CN"/>
        </w:rPr>
        <w:t>z</w:t>
      </w:r>
      <w:r w:rsidR="00246BD4" w:rsidRPr="00E76739">
        <w:rPr>
          <w:rFonts w:ascii="Calibri" w:eastAsia="Calibri" w:hAnsi="Calibri" w:cs="Times New Roman"/>
          <w:lang w:val="en-GB" w:eastAsia="zh-CN"/>
        </w:rPr>
        <w:t xml:space="preserve">ed </w:t>
      </w:r>
      <w:r w:rsidR="00246BD4">
        <w:rPr>
          <w:rFonts w:ascii="Calibri" w:eastAsia="Calibri" w:hAnsi="Calibri" w:cs="Times New Roman"/>
          <w:lang w:val="en-GB" w:eastAsia="zh-CN"/>
        </w:rPr>
        <w:t>i</w:t>
      </w:r>
      <w:r w:rsidR="00246BD4" w:rsidRPr="00E76739">
        <w:rPr>
          <w:rFonts w:ascii="Calibri" w:eastAsia="Calibri" w:hAnsi="Calibri" w:cs="Times New Roman"/>
          <w:lang w:val="en-GB" w:eastAsia="zh-CN"/>
        </w:rPr>
        <w:t xml:space="preserve">n </w:t>
      </w:r>
      <w:r w:rsidRPr="00E76739">
        <w:rPr>
          <w:rFonts w:ascii="Calibri" w:eastAsia="Calibri" w:hAnsi="Calibri" w:cs="Times New Roman"/>
          <w:lang w:val="en-GB" w:eastAsia="zh-CN"/>
        </w:rPr>
        <w:t xml:space="preserve">ML matters, but in general have financial crime expertise. </w:t>
      </w:r>
      <w:bookmarkStart w:id="81" w:name="_Toc341109096"/>
      <w:bookmarkStart w:id="82" w:name="_Toc341266536"/>
      <w:bookmarkStart w:id="83" w:name="_Toc341269291"/>
      <w:r w:rsidRPr="00E76739">
        <w:rPr>
          <w:rFonts w:ascii="Calibri" w:eastAsia="Calibri" w:hAnsi="Calibri" w:cs="Times New Roman"/>
          <w:lang w:val="en-GB" w:eastAsia="zh-CN"/>
        </w:rPr>
        <w:br/>
      </w:r>
    </w:p>
    <w:p w14:paraId="6F2AC0F3" w14:textId="77777777" w:rsidR="00E76739" w:rsidRPr="00E76739" w:rsidRDefault="00BA07A1" w:rsidP="00E76739">
      <w:pPr>
        <w:spacing w:after="24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 xml:space="preserve">.5.20 </w:t>
      </w:r>
      <w:r w:rsidR="00E76739" w:rsidRPr="00E76739">
        <w:rPr>
          <w:rFonts w:ascii="Calibri" w:eastAsia="SimSun" w:hAnsi="Calibri" w:cs="Times New Roman"/>
          <w:b/>
          <w:bCs/>
          <w:lang w:val="en-GB" w:eastAsia="zh-CN"/>
        </w:rPr>
        <w:tab/>
        <w:t>Poland</w:t>
      </w:r>
      <w:bookmarkEnd w:id="81"/>
      <w:bookmarkEnd w:id="82"/>
      <w:bookmarkEnd w:id="83"/>
    </w:p>
    <w:p w14:paraId="56390A7C" w14:textId="00833D79" w:rsidR="00E76739" w:rsidRPr="00E76739" w:rsidRDefault="00E76739" w:rsidP="00E76739">
      <w:pPr>
        <w:spacing w:after="0" w:line="240" w:lineRule="auto"/>
        <w:jc w:val="both"/>
        <w:rPr>
          <w:rFonts w:ascii="Calibri" w:eastAsia="Times New Roman" w:hAnsi="Calibri" w:cs="Times New Roman"/>
          <w:lang w:val="en-GB" w:eastAsia="zh-CN"/>
        </w:rPr>
      </w:pPr>
      <w:r w:rsidRPr="00E76739">
        <w:rPr>
          <w:rFonts w:ascii="Calibri" w:eastAsia="Calibri" w:hAnsi="Calibri" w:cs="Times New Roman"/>
          <w:bCs/>
          <w:lang w:val="en-GB" w:eastAsia="zh-CN"/>
        </w:rPr>
        <w:t>The Polish AML/CTF system is composed of the reporting entities, the FIU and the cooperating units – including the supervisory authorities and the law enforcement authorities.</w:t>
      </w:r>
      <w:r w:rsidRPr="00E76739">
        <w:rPr>
          <w:rFonts w:ascii="Calibri" w:eastAsia="Calibri" w:hAnsi="Calibri" w:cs="Times New Roman"/>
          <w:vertAlign w:val="superscript"/>
          <w:lang w:val="en-GB" w:eastAsia="zh-CN"/>
        </w:rPr>
        <w:footnoteReference w:id="56"/>
      </w:r>
      <w:r w:rsidRPr="00E76739">
        <w:rPr>
          <w:rFonts w:ascii="Calibri" w:eastAsia="Calibri" w:hAnsi="Calibri" w:cs="Times New Roman"/>
          <w:bCs/>
          <w:lang w:val="en-GB" w:eastAsia="zh-CN"/>
        </w:rPr>
        <w:t xml:space="preserve"> According to the AML/CTF Act, the obliged entities and the cooperating units must inform the FIU when </w:t>
      </w:r>
      <w:r w:rsidR="00AA26B5">
        <w:rPr>
          <w:rFonts w:ascii="Calibri" w:eastAsia="Calibri" w:hAnsi="Calibri" w:cs="Times New Roman"/>
          <w:bCs/>
          <w:lang w:val="en-GB" w:eastAsia="zh-CN"/>
        </w:rPr>
        <w:t xml:space="preserve">they </w:t>
      </w:r>
      <w:r w:rsidRPr="00E76739">
        <w:rPr>
          <w:rFonts w:ascii="Calibri" w:eastAsia="Calibri" w:hAnsi="Calibri" w:cs="Times New Roman"/>
          <w:bCs/>
          <w:lang w:val="en-GB" w:eastAsia="zh-CN"/>
        </w:rPr>
        <w:t xml:space="preserve">suspect money laundering or terrorist financing. The FIU thereafter checks these reports </w:t>
      </w:r>
      <w:r w:rsidR="00AA26B5">
        <w:rPr>
          <w:rFonts w:ascii="Calibri" w:eastAsia="Calibri" w:hAnsi="Calibri" w:cs="Times New Roman"/>
          <w:bCs/>
          <w:lang w:val="en-GB" w:eastAsia="zh-CN"/>
        </w:rPr>
        <w:t>against</w:t>
      </w:r>
      <w:r w:rsidR="00AA26B5" w:rsidRPr="00E76739">
        <w:rPr>
          <w:rFonts w:ascii="Calibri" w:eastAsia="Calibri" w:hAnsi="Calibri" w:cs="Times New Roman"/>
          <w:bCs/>
          <w:lang w:val="en-GB" w:eastAsia="zh-CN"/>
        </w:rPr>
        <w:t xml:space="preserve"> </w:t>
      </w:r>
      <w:r w:rsidRPr="00E76739">
        <w:rPr>
          <w:rFonts w:ascii="Calibri" w:eastAsia="Calibri" w:hAnsi="Calibri" w:cs="Times New Roman"/>
          <w:bCs/>
          <w:lang w:val="en-GB" w:eastAsia="zh-CN"/>
        </w:rPr>
        <w:t xml:space="preserve">the databases it has access to, and if suspicion is confirmed, the FIU forwards the case to the PPO. </w:t>
      </w:r>
      <w:r w:rsidRPr="00E76739">
        <w:rPr>
          <w:rFonts w:ascii="Calibri" w:eastAsia="Times New Roman" w:hAnsi="Calibri" w:cs="Calibri"/>
          <w:lang w:val="en-GB" w:eastAsia="zh-CN"/>
        </w:rPr>
        <w:t>The law enforcement authorities can submit a report to the FIU in relation to another crime under investigation if they consider that there could be a connection to ML or TF.</w:t>
      </w:r>
      <w:r w:rsidRPr="00E76739">
        <w:rPr>
          <w:rFonts w:ascii="Calibri" w:eastAsia="Times New Roman" w:hAnsi="Calibri" w:cs="Times New Roman"/>
          <w:vertAlign w:val="superscript"/>
          <w:lang w:val="en-GB" w:eastAsia="zh-CN"/>
        </w:rPr>
        <w:footnoteReference w:id="57"/>
      </w:r>
      <w:r w:rsidRPr="00E76739">
        <w:rPr>
          <w:rFonts w:ascii="Calibri" w:eastAsia="Times New Roman" w:hAnsi="Calibri" w:cs="Calibri"/>
          <w:lang w:val="en-GB" w:eastAsia="zh-CN"/>
        </w:rPr>
        <w:t xml:space="preserve"> When the FIU considers that the report </w:t>
      </w:r>
      <w:r w:rsidR="00AA26B5">
        <w:rPr>
          <w:rFonts w:ascii="Calibri" w:eastAsia="Times New Roman" w:hAnsi="Calibri" w:cs="Calibri"/>
          <w:lang w:val="en-GB" w:eastAsia="zh-CN"/>
        </w:rPr>
        <w:t>h</w:t>
      </w:r>
      <w:r w:rsidR="00AA26B5" w:rsidRPr="00E76739">
        <w:rPr>
          <w:rFonts w:ascii="Calibri" w:eastAsia="Times New Roman" w:hAnsi="Calibri" w:cs="Calibri"/>
          <w:lang w:val="en-GB" w:eastAsia="zh-CN"/>
        </w:rPr>
        <w:t xml:space="preserve">as </w:t>
      </w:r>
      <w:r w:rsidR="00AA26B5">
        <w:rPr>
          <w:rFonts w:ascii="Calibri" w:eastAsia="Times New Roman" w:hAnsi="Calibri" w:cs="Calibri"/>
          <w:lang w:val="en-GB" w:eastAsia="zh-CN"/>
        </w:rPr>
        <w:t xml:space="preserve">been </w:t>
      </w:r>
      <w:r w:rsidRPr="00E76739">
        <w:rPr>
          <w:rFonts w:ascii="Calibri" w:eastAsia="Times New Roman" w:hAnsi="Calibri" w:cs="Calibri"/>
          <w:lang w:val="en-GB" w:eastAsia="zh-CN"/>
        </w:rPr>
        <w:t>correctly submitted</w:t>
      </w:r>
      <w:r w:rsidR="00AA26B5">
        <w:rPr>
          <w:rFonts w:ascii="Calibri" w:eastAsia="Times New Roman" w:hAnsi="Calibri" w:cs="Calibri"/>
          <w:lang w:val="en-GB" w:eastAsia="zh-CN"/>
        </w:rPr>
        <w:t>,</w:t>
      </w:r>
      <w:r w:rsidRPr="00E76739">
        <w:rPr>
          <w:rFonts w:ascii="Calibri" w:eastAsia="Times New Roman" w:hAnsi="Calibri" w:cs="Calibri"/>
          <w:lang w:val="en-GB" w:eastAsia="zh-CN"/>
        </w:rPr>
        <w:t xml:space="preserve"> it will try to provide the respective LEA with additional information to support its investigation. </w:t>
      </w:r>
      <w:r w:rsidRPr="00E76739">
        <w:rPr>
          <w:rFonts w:ascii="Calibri" w:eastAsia="Times New Roman" w:hAnsi="Calibri" w:cs="Times New Roman"/>
          <w:lang w:val="en-GB" w:eastAsia="zh-CN"/>
        </w:rPr>
        <w:t>After the FIU has conducted its investigation, it will therefore forward the case to:</w:t>
      </w:r>
    </w:p>
    <w:p w14:paraId="65541993" w14:textId="77777777" w:rsidR="00E76739" w:rsidRPr="00E76739" w:rsidRDefault="00E76739" w:rsidP="00E76739">
      <w:pPr>
        <w:spacing w:after="0" w:line="240" w:lineRule="auto"/>
        <w:jc w:val="both"/>
        <w:rPr>
          <w:rFonts w:ascii="Calibri" w:eastAsia="Times New Roman" w:hAnsi="Calibri" w:cs="Times New Roman"/>
          <w:lang w:val="en-GB" w:eastAsia="zh-CN"/>
        </w:rPr>
      </w:pPr>
    </w:p>
    <w:p w14:paraId="66661722" w14:textId="77777777" w:rsidR="00E76739" w:rsidRPr="00E76739" w:rsidRDefault="00E76739" w:rsidP="00E76739">
      <w:pPr>
        <w:numPr>
          <w:ilvl w:val="0"/>
          <w:numId w:val="2"/>
        </w:numPr>
        <w:spacing w:after="240" w:line="240" w:lineRule="auto"/>
        <w:contextualSpacing/>
        <w:jc w:val="both"/>
        <w:rPr>
          <w:rFonts w:ascii="Calibri" w:eastAsia="Times New Roman" w:hAnsi="Calibri" w:cs="Times New Roman"/>
          <w:lang w:val="en-GB" w:eastAsia="zh-CN"/>
        </w:rPr>
      </w:pPr>
      <w:r w:rsidRPr="00E76739">
        <w:rPr>
          <w:rFonts w:ascii="Calibri" w:eastAsia="Times New Roman" w:hAnsi="Calibri" w:cs="Times New Roman"/>
          <w:lang w:val="en-GB" w:eastAsia="zh-CN"/>
        </w:rPr>
        <w:t>the PPO, when it finds the suspicion of money laundering or terrorist financing is justified</w:t>
      </w:r>
    </w:p>
    <w:p w14:paraId="7592616B" w14:textId="7CA7D92D" w:rsidR="00E76739" w:rsidRPr="00E76739" w:rsidRDefault="00E76739" w:rsidP="00E76739">
      <w:pPr>
        <w:numPr>
          <w:ilvl w:val="0"/>
          <w:numId w:val="2"/>
        </w:numPr>
        <w:spacing w:after="240" w:line="240" w:lineRule="auto"/>
        <w:contextualSpacing/>
        <w:jc w:val="both"/>
        <w:rPr>
          <w:rFonts w:ascii="Calibri" w:eastAsia="Times New Roman" w:hAnsi="Calibri" w:cs="Times New Roman"/>
          <w:lang w:val="en-GB" w:eastAsia="zh-CN"/>
        </w:rPr>
      </w:pPr>
      <w:r w:rsidRPr="00E76739">
        <w:rPr>
          <w:rFonts w:ascii="Calibri" w:eastAsia="Times New Roman" w:hAnsi="Calibri" w:cs="Times New Roman"/>
          <w:lang w:val="en-GB" w:eastAsia="zh-CN"/>
        </w:rPr>
        <w:t xml:space="preserve">the LEA, when it has information about other criminal offences in connection </w:t>
      </w:r>
      <w:r w:rsidR="00AA26B5">
        <w:rPr>
          <w:rFonts w:ascii="Calibri" w:eastAsia="Times New Roman" w:hAnsi="Calibri" w:cs="Times New Roman"/>
          <w:lang w:val="en-GB" w:eastAsia="zh-CN"/>
        </w:rPr>
        <w:t>with</w:t>
      </w:r>
      <w:r w:rsidR="00AA26B5"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money laundering that need further investigation (i.e. </w:t>
      </w:r>
      <w:r w:rsidR="00AA26B5">
        <w:rPr>
          <w:rFonts w:ascii="Calibri" w:eastAsia="Times New Roman" w:hAnsi="Calibri" w:cs="Times New Roman"/>
          <w:lang w:val="en-GB" w:eastAsia="zh-CN"/>
        </w:rPr>
        <w:t>p</w:t>
      </w:r>
      <w:r w:rsidR="00AA26B5" w:rsidRPr="00E76739">
        <w:rPr>
          <w:rFonts w:ascii="Calibri" w:eastAsia="Times New Roman" w:hAnsi="Calibri" w:cs="Times New Roman"/>
          <w:lang w:val="en-GB" w:eastAsia="zh-CN"/>
        </w:rPr>
        <w:t>olice</w:t>
      </w:r>
      <w:r w:rsidRPr="00E76739">
        <w:rPr>
          <w:rFonts w:ascii="Calibri" w:eastAsia="Times New Roman" w:hAnsi="Calibri" w:cs="Times New Roman"/>
          <w:lang w:val="en-GB" w:eastAsia="zh-CN"/>
        </w:rPr>
        <w:t xml:space="preserve">, </w:t>
      </w:r>
      <w:r w:rsidR="00AA26B5">
        <w:rPr>
          <w:rFonts w:ascii="Calibri" w:eastAsia="Times New Roman" w:hAnsi="Calibri" w:cs="Times New Roman"/>
          <w:lang w:val="en-GB" w:eastAsia="zh-CN"/>
        </w:rPr>
        <w:t>b</w:t>
      </w:r>
      <w:r w:rsidR="00AA26B5" w:rsidRPr="00E76739">
        <w:rPr>
          <w:rFonts w:ascii="Calibri" w:eastAsia="Times New Roman" w:hAnsi="Calibri" w:cs="Times New Roman"/>
          <w:lang w:val="en-GB" w:eastAsia="zh-CN"/>
        </w:rPr>
        <w:t xml:space="preserve">order </w:t>
      </w:r>
      <w:r w:rsidRPr="00E76739">
        <w:rPr>
          <w:rFonts w:ascii="Calibri" w:eastAsia="Times New Roman" w:hAnsi="Calibri" w:cs="Times New Roman"/>
          <w:lang w:val="en-GB" w:eastAsia="zh-CN"/>
        </w:rPr>
        <w:t xml:space="preserve">guards, fiscal control, </w:t>
      </w:r>
      <w:r w:rsidR="00AA26B5" w:rsidRPr="00E76739">
        <w:rPr>
          <w:rFonts w:ascii="Calibri" w:eastAsia="Times New Roman" w:hAnsi="Calibri" w:cs="Times New Roman"/>
          <w:lang w:val="en-GB" w:eastAsia="zh-CN"/>
        </w:rPr>
        <w:t>anti</w:t>
      </w:r>
      <w:r w:rsidR="00AA26B5">
        <w:rPr>
          <w:rFonts w:ascii="Calibri" w:eastAsia="Times New Roman" w:hAnsi="Calibri" w:cs="Times New Roman"/>
          <w:lang w:val="en-GB" w:eastAsia="zh-CN"/>
        </w:rPr>
        <w:t>-</w:t>
      </w:r>
      <w:r w:rsidRPr="00E76739">
        <w:rPr>
          <w:rFonts w:ascii="Calibri" w:eastAsia="Times New Roman" w:hAnsi="Calibri" w:cs="Times New Roman"/>
          <w:lang w:val="en-GB" w:eastAsia="zh-CN"/>
        </w:rPr>
        <w:t>corruption bureau etc.)</w:t>
      </w:r>
    </w:p>
    <w:p w14:paraId="0BB03F8F" w14:textId="77777777" w:rsidR="00E76739" w:rsidRPr="00E76739" w:rsidRDefault="00E76739" w:rsidP="003E5910">
      <w:pPr>
        <w:spacing w:after="240" w:line="240" w:lineRule="auto"/>
        <w:ind w:left="720"/>
        <w:contextualSpacing/>
        <w:jc w:val="both"/>
        <w:rPr>
          <w:rFonts w:ascii="Calibri" w:eastAsia="Times New Roman" w:hAnsi="Calibri" w:cs="Times New Roman"/>
          <w:lang w:val="en-GB" w:eastAsia="zh-CN"/>
        </w:rPr>
      </w:pPr>
    </w:p>
    <w:p w14:paraId="038303D4" w14:textId="77777777" w:rsidR="00E76739" w:rsidRPr="00E76739" w:rsidRDefault="00E76739" w:rsidP="00E76739">
      <w:pPr>
        <w:spacing w:after="240" w:line="240" w:lineRule="auto"/>
        <w:jc w:val="both"/>
        <w:rPr>
          <w:rFonts w:ascii="Calibri" w:eastAsia="Times New Roman" w:hAnsi="Calibri" w:cs="Times New Roman"/>
          <w:lang w:val="en-GB" w:eastAsia="zh-CN"/>
        </w:rPr>
      </w:pPr>
      <w:r w:rsidRPr="00E76739">
        <w:rPr>
          <w:rFonts w:ascii="Calibri" w:eastAsia="Times New Roman" w:hAnsi="Calibri" w:cs="Times New Roman"/>
          <w:lang w:val="en-GB" w:eastAsia="zh-CN"/>
        </w:rPr>
        <w:t>According to the Polish representative, in 2009 the FIU forwarded 180 cases to the PPO and 246 cases to the LEA. Furthermore, in 2010 the FIU forwarded 195 cases to the fiscal control offices, 122 cases to the police (including the Central Bureau of Investigation), 89 cases to the Internal Security Agency (including the Anti-Terrorist Centre), 7 cases to Border Guards, 6 cases to the Central Anticorruption Bureau, and 1 case to the tax authorities.</w:t>
      </w:r>
      <w:r w:rsidRPr="00E76739">
        <w:rPr>
          <w:rFonts w:ascii="Calibri" w:eastAsia="Times New Roman" w:hAnsi="Calibri" w:cs="Times New Roman"/>
          <w:vertAlign w:val="superscript"/>
          <w:lang w:val="en-GB" w:eastAsia="zh-CN"/>
        </w:rPr>
        <w:footnoteReference w:id="58"/>
      </w:r>
    </w:p>
    <w:p w14:paraId="54369C4E" w14:textId="4E438FA7" w:rsidR="00E76739" w:rsidRPr="00E76739" w:rsidRDefault="00E76739" w:rsidP="00E76739">
      <w:pPr>
        <w:spacing w:after="0" w:line="240" w:lineRule="auto"/>
        <w:jc w:val="center"/>
        <w:rPr>
          <w:rFonts w:ascii="Calibri" w:eastAsia="SimSun" w:hAnsi="Calibri" w:cs="Times New Roman"/>
          <w:b/>
          <w:lang w:val="en-GB" w:eastAsia="zh-CN"/>
        </w:rPr>
      </w:pPr>
      <w:bookmarkStart w:id="84" w:name="_Toc350517111"/>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420F8F" w:rsidRPr="00E76739">
        <w:rPr>
          <w:rFonts w:ascii="Calibri" w:eastAsia="SimSun" w:hAnsi="Calibri" w:cs="Times New Roman"/>
          <w:b/>
          <w:lang w:val="en-GB" w:eastAsia="zh-CN"/>
        </w:rPr>
        <w:t>2</w:t>
      </w:r>
      <w:r w:rsidR="00420F8F">
        <w:rPr>
          <w:rFonts w:ascii="Calibri" w:eastAsia="SimSun" w:hAnsi="Calibri" w:cs="Times New Roman"/>
          <w:b/>
          <w:lang w:val="en-GB" w:eastAsia="zh-CN"/>
        </w:rPr>
        <w:t>4</w:t>
      </w:r>
      <w:r w:rsidRPr="00E76739">
        <w:rPr>
          <w:rFonts w:ascii="Calibri" w:eastAsia="SimSun" w:hAnsi="Calibri" w:cs="Times New Roman"/>
          <w:b/>
          <w:lang w:val="en-GB" w:eastAsia="zh-CN"/>
        </w:rPr>
        <w:t>: AML/CTF information flows in Poland</w:t>
      </w:r>
      <w:bookmarkEnd w:id="84"/>
    </w:p>
    <w:p w14:paraId="4E173054" w14:textId="77777777" w:rsidR="00E76739" w:rsidRPr="00E76739" w:rsidRDefault="00E76739" w:rsidP="00E76739">
      <w:pPr>
        <w:spacing w:after="0" w:line="240" w:lineRule="auto"/>
        <w:jc w:val="both"/>
        <w:rPr>
          <w:rFonts w:ascii="Calibri" w:eastAsia="SimSun" w:hAnsi="Calibri" w:cs="Times New Roman"/>
          <w:b/>
          <w:lang w:val="en-GB" w:eastAsia="zh-CN"/>
        </w:rPr>
      </w:pPr>
    </w:p>
    <w:p w14:paraId="6AA5F81B" w14:textId="77777777" w:rsidR="00E76739" w:rsidRPr="00E76739" w:rsidRDefault="00E76739" w:rsidP="00E76739">
      <w:pPr>
        <w:spacing w:after="0" w:line="240" w:lineRule="auto"/>
        <w:jc w:val="both"/>
        <w:rPr>
          <w:rFonts w:ascii="Calibri" w:eastAsia="Calibri" w:hAnsi="Calibri" w:cs="Times New Roman"/>
          <w:b/>
          <w:bCs/>
          <w:i/>
          <w:lang w:val="en-GB" w:eastAsia="zh-CN"/>
        </w:rPr>
      </w:pPr>
      <w:r w:rsidRPr="00E76739">
        <w:rPr>
          <w:rFonts w:ascii="Calibri" w:eastAsia="Calibri" w:hAnsi="Calibri" w:cs="Times New Roman"/>
          <w:b/>
          <w:i/>
          <w:noProof/>
          <w:lang w:val="en-US" w:eastAsia="en-US"/>
        </w:rPr>
        <w:drawing>
          <wp:inline distT="0" distB="0" distL="0" distR="0" wp14:anchorId="33051547" wp14:editId="650E21A1">
            <wp:extent cx="5915025" cy="2990850"/>
            <wp:effectExtent l="0" t="0" r="9525" b="0"/>
            <wp:docPr id="37" name="Afbeelding 40" descr="PolandInformationFlow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landInformationFlows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l="4987" t="18213" r="5312" b="23320"/>
                    <a:stretch>
                      <a:fillRect/>
                    </a:stretch>
                  </pic:blipFill>
                  <pic:spPr bwMode="auto">
                    <a:xfrm>
                      <a:off x="0" y="0"/>
                      <a:ext cx="5915025" cy="2990850"/>
                    </a:xfrm>
                    <a:prstGeom prst="rect">
                      <a:avLst/>
                    </a:prstGeom>
                    <a:noFill/>
                    <a:ln>
                      <a:noFill/>
                    </a:ln>
                  </pic:spPr>
                </pic:pic>
              </a:graphicData>
            </a:graphic>
          </wp:inline>
        </w:drawing>
      </w:r>
    </w:p>
    <w:p w14:paraId="7C2C0BBB" w14:textId="1DBADD24" w:rsidR="00E76739" w:rsidRPr="00E76739" w:rsidRDefault="00E76739" w:rsidP="00E76739">
      <w:pPr>
        <w:spacing w:after="240" w:line="240" w:lineRule="auto"/>
        <w:jc w:val="both"/>
        <w:rPr>
          <w:rFonts w:ascii="Calibri" w:eastAsia="Calibri" w:hAnsi="Calibri" w:cs="Times New Roman"/>
          <w:i/>
          <w:sz w:val="20"/>
          <w:szCs w:val="20"/>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022FE5">
        <w:rPr>
          <w:rFonts w:ascii="Calibri" w:eastAsia="Calibri" w:hAnsi="Calibri" w:cs="Times New Roman"/>
          <w:i/>
          <w:sz w:val="20"/>
          <w:szCs w:val="20"/>
          <w:lang w:val="en-GB" w:eastAsia="zh-CN"/>
        </w:rPr>
        <w:t>both</w:t>
      </w:r>
      <w:r w:rsidR="00022FE5"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022FE5" w:rsidRPr="00E76739">
        <w:rPr>
          <w:rFonts w:ascii="Calibri" w:eastAsia="Calibri" w:hAnsi="Calibri" w:cs="Times New Roman"/>
          <w:i/>
          <w:sz w:val="20"/>
          <w:szCs w:val="20"/>
          <w:lang w:val="en-GB" w:eastAsia="zh-CN"/>
        </w:rPr>
        <w:t>speciali</w:t>
      </w:r>
      <w:r w:rsidR="00022FE5">
        <w:rPr>
          <w:rFonts w:ascii="Calibri" w:eastAsia="Calibri" w:hAnsi="Calibri" w:cs="Times New Roman"/>
          <w:i/>
          <w:sz w:val="20"/>
          <w:szCs w:val="20"/>
          <w:lang w:val="en-GB" w:eastAsia="zh-CN"/>
        </w:rPr>
        <w:t>z</w:t>
      </w:r>
      <w:r w:rsidR="00022FE5"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in dealing with ML/TF cases.</w:t>
      </w:r>
    </w:p>
    <w:p w14:paraId="40CB02AA" w14:textId="24C264B4"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Calibri" w:hAnsi="Calibri" w:cs="Times New Roman"/>
          <w:bCs/>
          <w:lang w:val="en-GB" w:eastAsia="zh-CN"/>
        </w:rPr>
        <w:t>In terms of feedback, t</w:t>
      </w:r>
      <w:r w:rsidRPr="00E76739">
        <w:rPr>
          <w:rFonts w:ascii="Calibri" w:eastAsia="Times New Roman" w:hAnsi="Calibri" w:cs="Calibri"/>
          <w:lang w:val="en-GB" w:eastAsia="zh-CN"/>
        </w:rPr>
        <w:t>he PPO and the law enforcement authorities are required by the AML/CTF Act to advise the GIFI on all cases where they suspect money laundering or terrorism financing. Moreover, the PPO and the law enforcement authorities must also inform the FIU on the initiation and completion of investigations of money laundering or terrorism financing crimes and on the charges</w:t>
      </w:r>
      <w:r w:rsidR="00D80A69">
        <w:rPr>
          <w:rFonts w:ascii="Calibri" w:eastAsia="Times New Roman" w:hAnsi="Calibri" w:cs="Calibri"/>
          <w:lang w:val="en-GB" w:eastAsia="zh-CN"/>
        </w:rPr>
        <w:t xml:space="preserve"> imposed</w:t>
      </w:r>
      <w:r w:rsidRPr="00E76739">
        <w:rPr>
          <w:rFonts w:ascii="Calibri" w:eastAsia="Times New Roman" w:hAnsi="Calibri" w:cs="Calibri"/>
          <w:lang w:val="en-GB" w:eastAsia="zh-CN"/>
        </w:rPr>
        <w:t>, even when these investigations did not start from information provided by the FIU.</w:t>
      </w:r>
      <w:r w:rsidRPr="00E76739">
        <w:rPr>
          <w:rFonts w:ascii="Calibri" w:eastAsia="Times New Roman" w:hAnsi="Calibri" w:cs="Times New Roman"/>
          <w:vertAlign w:val="superscript"/>
          <w:lang w:val="en-GB" w:eastAsia="zh-CN"/>
        </w:rPr>
        <w:footnoteReference w:id="59"/>
      </w:r>
      <w:r w:rsidRPr="00E76739">
        <w:rPr>
          <w:rFonts w:ascii="Calibri" w:eastAsia="Times New Roman" w:hAnsi="Calibri" w:cs="Calibri"/>
          <w:lang w:val="en-GB" w:eastAsia="zh-CN"/>
        </w:rPr>
        <w:t xml:space="preserve"> According to the Polish representative, this provision for cooperation between the FIU and the LEAs is remarkable in the case of an administrative FIU. Together with the systematic feedback it receives, the FIU seems well connected to the other key players in the Polish AML/CTF system.</w:t>
      </w:r>
    </w:p>
    <w:p w14:paraId="473205CE" w14:textId="5AF85AC6"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In general, investigations are initiated and carried out by the police and other entitled bodies but the public prosecutor has the power to take over the proceedings. In general, the PPO supervises the investigation of the police. The public prosecutor must conduct investigations himself, when the suspect is a member of the law enforcement authorities or of the judiciary (a judge, a public prosecutor, a police officer etc.).</w:t>
      </w:r>
      <w:r w:rsidRPr="00E76739">
        <w:rPr>
          <w:rFonts w:ascii="Calibri" w:eastAsia="Calibri" w:hAnsi="Calibri" w:cs="Times New Roman"/>
          <w:vertAlign w:val="superscript"/>
          <w:lang w:val="en-GB" w:eastAsia="zh-CN"/>
        </w:rPr>
        <w:footnoteReference w:id="60"/>
      </w:r>
      <w:r w:rsidRPr="00E76739">
        <w:rPr>
          <w:rFonts w:ascii="Calibri" w:eastAsia="Calibri" w:hAnsi="Calibri" w:cs="Times New Roman"/>
          <w:lang w:val="en-GB" w:eastAsia="zh-CN"/>
        </w:rPr>
        <w:t xml:space="preserve"> According to </w:t>
      </w:r>
      <w:r w:rsidR="00E53D61"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(2006)</w:t>
      </w:r>
      <w:r w:rsidR="00E53D61">
        <w:rPr>
          <w:rFonts w:ascii="Calibri" w:eastAsia="Calibri" w:hAnsi="Calibri" w:cs="Times New Roman"/>
          <w:lang w:val="en-GB" w:eastAsia="zh-CN"/>
        </w:rPr>
        <w:t>,</w:t>
      </w:r>
      <w:r w:rsidRPr="00E76739">
        <w:rPr>
          <w:rFonts w:ascii="Calibri" w:eastAsia="Calibri" w:hAnsi="Calibri" w:cs="Times New Roman"/>
          <w:lang w:val="en-GB" w:eastAsia="zh-CN"/>
        </w:rPr>
        <w:t xml:space="preserve"> money laundering and financing of terrorism cases are investigated by the Central Investigations Bureau of the General Headquarters of the Police. There is no specialised ML unit within the police. </w:t>
      </w:r>
    </w:p>
    <w:p w14:paraId="651585B4" w14:textId="37696B20"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Polish prosecution is </w:t>
      </w:r>
      <w:r w:rsidR="00E53D61" w:rsidRPr="00E76739">
        <w:rPr>
          <w:rFonts w:ascii="Calibri" w:eastAsia="Calibri" w:hAnsi="Calibri" w:cs="Times New Roman"/>
          <w:lang w:val="en-GB" w:eastAsia="zh-CN"/>
        </w:rPr>
        <w:t>organi</w:t>
      </w:r>
      <w:r w:rsidR="00E53D61">
        <w:rPr>
          <w:rFonts w:ascii="Calibri" w:eastAsia="Calibri" w:hAnsi="Calibri" w:cs="Times New Roman"/>
          <w:lang w:val="en-GB" w:eastAsia="zh-CN"/>
        </w:rPr>
        <w:t>z</w:t>
      </w:r>
      <w:r w:rsidR="00E53D61"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in Appellant, Regional and District Prosecution Offices. According to the Polish representative, ML/TF cases can be investigated by the District Prosecutor’s Offices. If a given investigation turns out to be of a complex character (e.g. </w:t>
      </w:r>
      <w:r w:rsidR="00E53D61">
        <w:rPr>
          <w:rFonts w:ascii="Calibri" w:eastAsia="Calibri" w:hAnsi="Calibri" w:cs="Times New Roman"/>
          <w:lang w:val="en-GB" w:eastAsia="zh-CN"/>
        </w:rPr>
        <w:t xml:space="preserve">a </w:t>
      </w:r>
      <w:r w:rsidRPr="00E76739">
        <w:rPr>
          <w:rFonts w:ascii="Calibri" w:eastAsia="Calibri" w:hAnsi="Calibri" w:cs="Times New Roman"/>
          <w:lang w:val="en-GB" w:eastAsia="zh-CN"/>
        </w:rPr>
        <w:t>large number of entities involved, sophisticated methods of money laundering, transnational criminal scheme)</w:t>
      </w:r>
      <w:r w:rsidR="00E53D61">
        <w:rPr>
          <w:rFonts w:ascii="Calibri" w:eastAsia="Calibri" w:hAnsi="Calibri" w:cs="Times New Roman"/>
          <w:lang w:val="en-GB" w:eastAsia="zh-CN"/>
        </w:rPr>
        <w:t>,</w:t>
      </w:r>
      <w:r w:rsidRPr="00E76739">
        <w:rPr>
          <w:rFonts w:ascii="Calibri" w:eastAsia="Calibri" w:hAnsi="Calibri" w:cs="Times New Roman"/>
          <w:lang w:val="en-GB" w:eastAsia="zh-CN"/>
        </w:rPr>
        <w:t xml:space="preserve"> the case is handed over to Regional Prosecutor’s Offices. When a linkage between the ML/TF case and </w:t>
      </w:r>
      <w:r w:rsidR="00E53D61" w:rsidRPr="00E76739">
        <w:rPr>
          <w:rFonts w:ascii="Calibri" w:eastAsia="Calibri" w:hAnsi="Calibri" w:cs="Times New Roman"/>
          <w:lang w:val="en-GB" w:eastAsia="zh-CN"/>
        </w:rPr>
        <w:t>organi</w:t>
      </w:r>
      <w:r w:rsidR="00E53D61">
        <w:rPr>
          <w:rFonts w:ascii="Calibri" w:eastAsia="Calibri" w:hAnsi="Calibri" w:cs="Times New Roman"/>
          <w:lang w:val="en-GB" w:eastAsia="zh-CN"/>
        </w:rPr>
        <w:t>z</w:t>
      </w:r>
      <w:r w:rsidR="00E53D61"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crime is found, the case is investigated by the Appellate Prosecutor’s Offices. This division of competences has been laid down in the Ordinance of the Minister of Justice of 24 March 2010 on </w:t>
      </w:r>
      <w:r w:rsidR="00E53D61">
        <w:rPr>
          <w:rFonts w:ascii="Calibri" w:eastAsia="Calibri" w:hAnsi="Calibri" w:cs="Times New Roman"/>
          <w:lang w:val="en-GB" w:eastAsia="zh-CN"/>
        </w:rPr>
        <w:t xml:space="preserve">the </w:t>
      </w:r>
      <w:r w:rsidRPr="00E76739">
        <w:rPr>
          <w:rFonts w:ascii="Calibri" w:eastAsia="Calibri" w:hAnsi="Calibri" w:cs="Times New Roman"/>
          <w:lang w:val="en-GB" w:eastAsia="zh-CN"/>
        </w:rPr>
        <w:t>internal activities of the units of prosecution service.</w:t>
      </w:r>
    </w:p>
    <w:p w14:paraId="05B72A61" w14:textId="724ED5E5"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According to </w:t>
      </w:r>
      <w:r w:rsidR="00E53D61"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(2008) since 2007 the </w:t>
      </w:r>
      <w:r w:rsidR="00E53D61" w:rsidRPr="00E76739">
        <w:rPr>
          <w:rFonts w:ascii="Calibri" w:eastAsia="Calibri" w:hAnsi="Calibri" w:cs="Times New Roman"/>
          <w:lang w:val="en-GB" w:eastAsia="zh-CN"/>
        </w:rPr>
        <w:t>Organi</w:t>
      </w:r>
      <w:r w:rsidR="00E53D61">
        <w:rPr>
          <w:rFonts w:ascii="Calibri" w:eastAsia="Calibri" w:hAnsi="Calibri" w:cs="Times New Roman"/>
          <w:lang w:val="en-GB" w:eastAsia="zh-CN"/>
        </w:rPr>
        <w:t>z</w:t>
      </w:r>
      <w:r w:rsidR="00E53D61"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Crime Bureau of the National PPO was divided into a </w:t>
      </w:r>
      <w:r w:rsidR="00E53D61">
        <w:rPr>
          <w:rFonts w:ascii="Calibri" w:eastAsia="Calibri" w:hAnsi="Calibri" w:cs="Times New Roman"/>
          <w:lang w:val="en-GB" w:eastAsia="zh-CN"/>
        </w:rPr>
        <w:t>c</w:t>
      </w:r>
      <w:r w:rsidR="00E53D61" w:rsidRPr="00E76739">
        <w:rPr>
          <w:rFonts w:ascii="Calibri" w:eastAsia="Calibri" w:hAnsi="Calibri" w:cs="Times New Roman"/>
          <w:lang w:val="en-GB" w:eastAsia="zh-CN"/>
        </w:rPr>
        <w:t xml:space="preserve">entral </w:t>
      </w:r>
      <w:r w:rsidR="00E53D61">
        <w:rPr>
          <w:rFonts w:ascii="Calibri" w:eastAsia="Calibri" w:hAnsi="Calibri" w:cs="Times New Roman"/>
          <w:lang w:val="en-GB" w:eastAsia="zh-CN"/>
        </w:rPr>
        <w:t>u</w:t>
      </w:r>
      <w:r w:rsidR="00E53D61" w:rsidRPr="00E76739">
        <w:rPr>
          <w:rFonts w:ascii="Calibri" w:eastAsia="Calibri" w:hAnsi="Calibri" w:cs="Times New Roman"/>
          <w:lang w:val="en-GB" w:eastAsia="zh-CN"/>
        </w:rPr>
        <w:t xml:space="preserve">nit </w:t>
      </w:r>
      <w:r w:rsidRPr="00E76739">
        <w:rPr>
          <w:rFonts w:ascii="Calibri" w:eastAsia="Calibri" w:hAnsi="Calibri" w:cs="Times New Roman"/>
          <w:lang w:val="en-GB" w:eastAsia="zh-CN"/>
        </w:rPr>
        <w:t xml:space="preserve">and 11 </w:t>
      </w:r>
      <w:r w:rsidR="00E53D61">
        <w:rPr>
          <w:rFonts w:ascii="Calibri" w:eastAsia="Calibri" w:hAnsi="Calibri" w:cs="Times New Roman"/>
          <w:lang w:val="en-GB" w:eastAsia="zh-CN"/>
        </w:rPr>
        <w:t>l</w:t>
      </w:r>
      <w:r w:rsidR="00E53D61" w:rsidRPr="00E76739">
        <w:rPr>
          <w:rFonts w:ascii="Calibri" w:eastAsia="Calibri" w:hAnsi="Calibri" w:cs="Times New Roman"/>
          <w:lang w:val="en-GB" w:eastAsia="zh-CN"/>
        </w:rPr>
        <w:t xml:space="preserve">ocal </w:t>
      </w:r>
      <w:r w:rsidRPr="00E76739">
        <w:rPr>
          <w:rFonts w:ascii="Calibri" w:eastAsia="Calibri" w:hAnsi="Calibri" w:cs="Times New Roman"/>
          <w:lang w:val="en-GB" w:eastAsia="zh-CN"/>
        </w:rPr>
        <w:t xml:space="preserve">departments. The departments conduct investigations into the more serious crimes – terrorist financing, </w:t>
      </w:r>
      <w:r w:rsidR="00E53D61" w:rsidRPr="00E76739">
        <w:rPr>
          <w:rFonts w:ascii="Calibri" w:eastAsia="Calibri" w:hAnsi="Calibri" w:cs="Times New Roman"/>
          <w:lang w:val="en-GB" w:eastAsia="zh-CN"/>
        </w:rPr>
        <w:t>organi</w:t>
      </w:r>
      <w:r w:rsidR="00E53D61">
        <w:rPr>
          <w:rFonts w:ascii="Calibri" w:eastAsia="Calibri" w:hAnsi="Calibri" w:cs="Times New Roman"/>
          <w:lang w:val="en-GB" w:eastAsia="zh-CN"/>
        </w:rPr>
        <w:t>z</w:t>
      </w:r>
      <w:r w:rsidR="00E53D61"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crime, money laundering, corruption in the governing bodies and the judiciary. The </w:t>
      </w:r>
      <w:r w:rsidR="00E53D61">
        <w:rPr>
          <w:rFonts w:ascii="Calibri" w:eastAsia="Calibri" w:hAnsi="Calibri" w:cs="Times New Roman"/>
          <w:lang w:val="en-GB" w:eastAsia="zh-CN"/>
        </w:rPr>
        <w:t>c</w:t>
      </w:r>
      <w:r w:rsidR="00E53D61" w:rsidRPr="00E76739">
        <w:rPr>
          <w:rFonts w:ascii="Calibri" w:eastAsia="Calibri" w:hAnsi="Calibri" w:cs="Times New Roman"/>
          <w:lang w:val="en-GB" w:eastAsia="zh-CN"/>
        </w:rPr>
        <w:t xml:space="preserve">entral </w:t>
      </w:r>
      <w:r w:rsidR="00E53D61">
        <w:rPr>
          <w:rFonts w:ascii="Calibri" w:eastAsia="Calibri" w:hAnsi="Calibri" w:cs="Times New Roman"/>
          <w:lang w:val="en-GB" w:eastAsia="zh-CN"/>
        </w:rPr>
        <w:t>u</w:t>
      </w:r>
      <w:r w:rsidR="00E53D61" w:rsidRPr="00E76739">
        <w:rPr>
          <w:rFonts w:ascii="Calibri" w:eastAsia="Calibri" w:hAnsi="Calibri" w:cs="Times New Roman"/>
          <w:lang w:val="en-GB" w:eastAsia="zh-CN"/>
        </w:rPr>
        <w:t xml:space="preserve">nit </w:t>
      </w:r>
      <w:r w:rsidRPr="00E76739">
        <w:rPr>
          <w:rFonts w:ascii="Calibri" w:eastAsia="Calibri" w:hAnsi="Calibri" w:cs="Times New Roman"/>
          <w:lang w:val="en-GB" w:eastAsia="zh-CN"/>
        </w:rPr>
        <w:t xml:space="preserve">is responsible </w:t>
      </w:r>
      <w:r w:rsidR="00E53D61">
        <w:rPr>
          <w:rFonts w:ascii="Calibri" w:eastAsia="Calibri" w:hAnsi="Calibri" w:cs="Times New Roman"/>
          <w:lang w:val="en-GB" w:eastAsia="zh-CN"/>
        </w:rPr>
        <w:t>for</w:t>
      </w:r>
      <w:r w:rsidR="00E53D61"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the coordination of the local departments in their AML/CTF investigations as well as </w:t>
      </w:r>
      <w:r w:rsidR="00E53D61">
        <w:rPr>
          <w:rFonts w:ascii="Calibri" w:eastAsia="Calibri" w:hAnsi="Calibri" w:cs="Times New Roman"/>
          <w:lang w:val="en-GB" w:eastAsia="zh-CN"/>
        </w:rPr>
        <w:t>for</w:t>
      </w:r>
      <w:r w:rsidRPr="00E76739">
        <w:rPr>
          <w:rFonts w:ascii="Calibri" w:eastAsia="Calibri" w:hAnsi="Calibri" w:cs="Times New Roman"/>
          <w:lang w:val="en-GB" w:eastAsia="zh-CN"/>
        </w:rPr>
        <w:t xml:space="preserve"> issuing statistics on these matters.</w:t>
      </w:r>
      <w:r w:rsidRPr="00E76739">
        <w:rPr>
          <w:rFonts w:ascii="Calibri" w:eastAsia="Calibri" w:hAnsi="Calibri" w:cs="Times New Roman"/>
          <w:vertAlign w:val="superscript"/>
          <w:lang w:val="en-GB" w:eastAsia="zh-CN"/>
        </w:rPr>
        <w:footnoteReference w:id="61"/>
      </w:r>
    </w:p>
    <w:p w14:paraId="5EE17280" w14:textId="5570A38F" w:rsidR="00E76739" w:rsidRPr="00E76739" w:rsidRDefault="00E76739" w:rsidP="00E76739">
      <w:pPr>
        <w:spacing w:after="240" w:line="240" w:lineRule="auto"/>
        <w:jc w:val="both"/>
        <w:rPr>
          <w:rFonts w:ascii="Calibri" w:eastAsia="SimSun" w:hAnsi="Calibri" w:cs="Times New Roman"/>
          <w:bCs/>
          <w:lang w:val="en-GB" w:eastAsia="zh-CN"/>
        </w:rPr>
      </w:pPr>
      <w:r w:rsidRPr="00E76739">
        <w:rPr>
          <w:rFonts w:ascii="Calibri" w:eastAsia="Times New Roman" w:hAnsi="Calibri" w:cs="Times New Roman"/>
          <w:lang w:val="en-GB" w:eastAsia="zh-CN"/>
        </w:rPr>
        <w:t xml:space="preserve">The prosecution can use FIU data in building a case file. The PPO can request information from the FIU when this supports the investigation in </w:t>
      </w:r>
      <w:r w:rsidR="00B1184C">
        <w:rPr>
          <w:rFonts w:ascii="Calibri" w:eastAsia="Times New Roman" w:hAnsi="Calibri" w:cs="Times New Roman"/>
          <w:lang w:val="en-GB" w:eastAsia="zh-CN"/>
        </w:rPr>
        <w:t>progress</w:t>
      </w:r>
      <w:r w:rsidRPr="00E76739">
        <w:rPr>
          <w:rFonts w:ascii="Calibri" w:eastAsia="Times New Roman" w:hAnsi="Calibri" w:cs="Times New Roman"/>
          <w:lang w:val="en-GB" w:eastAsia="zh-CN"/>
        </w:rPr>
        <w:t>. Furthermore, the FIU seems to be a central source for ML and TF financing information, as the Polish representative estimates that approximately 60% of all ML/TF prosecutions and approximately 80% of all ML/TF convictions can be traced back to FIU reports.</w:t>
      </w:r>
      <w:bookmarkStart w:id="85" w:name="_Toc341109097"/>
      <w:bookmarkStart w:id="86" w:name="_Toc341266537"/>
      <w:bookmarkStart w:id="87" w:name="_Toc341269292"/>
    </w:p>
    <w:p w14:paraId="09F2793C" w14:textId="77777777" w:rsidR="00E76739" w:rsidRPr="00E76739" w:rsidRDefault="00E76739" w:rsidP="00E76739">
      <w:pPr>
        <w:spacing w:after="240" w:line="240" w:lineRule="auto"/>
        <w:jc w:val="both"/>
        <w:rPr>
          <w:rFonts w:ascii="Calibri" w:eastAsia="SimSun" w:hAnsi="Calibri" w:cs="Times New Roman"/>
          <w:bCs/>
          <w:lang w:val="en-GB" w:eastAsia="zh-CN"/>
        </w:rPr>
      </w:pPr>
      <w:r w:rsidRPr="00E76739">
        <w:rPr>
          <w:rFonts w:ascii="Calibri" w:eastAsia="SimSun" w:hAnsi="Calibri" w:cs="Times New Roman"/>
          <w:bCs/>
          <w:lang w:val="en-GB" w:eastAsia="zh-CN"/>
        </w:rPr>
        <w:br/>
      </w:r>
      <w:r w:rsidR="00BA07A1">
        <w:rPr>
          <w:rFonts w:ascii="Calibri" w:eastAsia="SimSun" w:hAnsi="Calibri" w:cs="Times New Roman"/>
          <w:b/>
          <w:bCs/>
          <w:lang w:val="en-GB" w:eastAsia="zh-CN"/>
        </w:rPr>
        <w:t>8</w:t>
      </w:r>
      <w:r w:rsidRPr="00E76739">
        <w:rPr>
          <w:rFonts w:ascii="Calibri" w:eastAsia="SimSun" w:hAnsi="Calibri" w:cs="Times New Roman"/>
          <w:b/>
          <w:bCs/>
          <w:lang w:val="en-GB" w:eastAsia="zh-CN"/>
        </w:rPr>
        <w:t>.5.21 Portugal</w:t>
      </w:r>
      <w:bookmarkEnd w:id="85"/>
      <w:bookmarkEnd w:id="86"/>
      <w:bookmarkEnd w:id="87"/>
    </w:p>
    <w:p w14:paraId="3621B961" w14:textId="74642169" w:rsidR="00E76739" w:rsidRPr="00E76739" w:rsidRDefault="00E76739" w:rsidP="00E76739">
      <w:pPr>
        <w:spacing w:after="240" w:line="240" w:lineRule="auto"/>
        <w:jc w:val="both"/>
        <w:rPr>
          <w:rFonts w:ascii="Calibri" w:eastAsia="Times New Roman" w:hAnsi="Calibri" w:cs="Calibri"/>
          <w:bCs/>
          <w:lang w:val="en-GB" w:eastAsia="zh-CN"/>
        </w:rPr>
      </w:pPr>
      <w:r w:rsidRPr="00E76739">
        <w:rPr>
          <w:rFonts w:ascii="Calibri" w:eastAsia="Times New Roman" w:hAnsi="Calibri" w:cs="Calibri"/>
          <w:lang w:val="en-GB" w:eastAsia="zh-CN"/>
        </w:rPr>
        <w:t>A peculiarit</w:t>
      </w:r>
      <w:r w:rsidRPr="00E76739">
        <w:rPr>
          <w:rFonts w:ascii="Calibri" w:eastAsia="Times New Roman" w:hAnsi="Calibri" w:cs="Calibri"/>
          <w:bCs/>
          <w:lang w:val="en-GB" w:eastAsia="zh-CN"/>
        </w:rPr>
        <w:t>y of the information flow system in Portugal is the double reporting of the obliged entities. These entities have to report to the FIU and to the DCIAP at the same time and they also receive feedback from both institutions, as mentioned also in the FATF M</w:t>
      </w:r>
      <w:r w:rsidR="00E27B45">
        <w:rPr>
          <w:rFonts w:ascii="Calibri" w:eastAsia="Times New Roman" w:hAnsi="Calibri" w:cs="Calibri"/>
          <w:bCs/>
          <w:lang w:val="en-GB" w:eastAsia="zh-CN"/>
        </w:rPr>
        <w:t xml:space="preserve">utual </w:t>
      </w:r>
      <w:r w:rsidRPr="00E76739">
        <w:rPr>
          <w:rFonts w:ascii="Calibri" w:eastAsia="Times New Roman" w:hAnsi="Calibri" w:cs="Calibri"/>
          <w:bCs/>
          <w:lang w:val="en-GB" w:eastAsia="zh-CN"/>
        </w:rPr>
        <w:t>E</w:t>
      </w:r>
      <w:r w:rsidR="00E27B45">
        <w:rPr>
          <w:rFonts w:ascii="Calibri" w:eastAsia="Times New Roman" w:hAnsi="Calibri" w:cs="Calibri"/>
          <w:bCs/>
          <w:lang w:val="en-GB" w:eastAsia="zh-CN"/>
        </w:rPr>
        <w:t xml:space="preserve">valuation </w:t>
      </w:r>
      <w:r w:rsidRPr="00E76739">
        <w:rPr>
          <w:rFonts w:ascii="Calibri" w:eastAsia="Times New Roman" w:hAnsi="Calibri" w:cs="Calibri"/>
          <w:bCs/>
          <w:lang w:val="en-GB" w:eastAsia="zh-CN"/>
        </w:rPr>
        <w:t>R</w:t>
      </w:r>
      <w:r w:rsidR="00E27B45">
        <w:rPr>
          <w:rFonts w:ascii="Calibri" w:eastAsia="Times New Roman" w:hAnsi="Calibri" w:cs="Calibri"/>
          <w:bCs/>
          <w:lang w:val="en-GB" w:eastAsia="zh-CN"/>
        </w:rPr>
        <w:t>eport</w:t>
      </w:r>
      <w:r w:rsidRPr="00E76739">
        <w:rPr>
          <w:rFonts w:ascii="Calibri" w:eastAsia="Times New Roman" w:hAnsi="Calibri" w:cs="Calibri"/>
          <w:bCs/>
          <w:lang w:val="en-GB" w:eastAsia="zh-CN"/>
        </w:rPr>
        <w:t>.</w:t>
      </w:r>
    </w:p>
    <w:p w14:paraId="46D19C20" w14:textId="73C31EE5" w:rsidR="00E76739" w:rsidRPr="00E76739" w:rsidRDefault="00E76739" w:rsidP="00E76739">
      <w:pPr>
        <w:spacing w:after="240" w:line="240" w:lineRule="auto"/>
        <w:jc w:val="both"/>
        <w:rPr>
          <w:rFonts w:ascii="Calibri" w:eastAsia="Times New Roman" w:hAnsi="Calibri" w:cs="Calibri"/>
          <w:bCs/>
          <w:lang w:val="en-GB" w:eastAsia="zh-CN"/>
        </w:rPr>
      </w:pPr>
      <w:r w:rsidRPr="00E76739">
        <w:rPr>
          <w:rFonts w:ascii="Calibri" w:eastAsia="Times New Roman" w:hAnsi="Calibri" w:cs="Calibri"/>
          <w:bCs/>
          <w:lang w:val="en-GB" w:eastAsia="zh-CN"/>
        </w:rPr>
        <w:t xml:space="preserve">The PPO does not necessarily start a formal criminal/judicial analysis upon receipt of the reports, but they cross-check their own databases (‘administrative procedure’). The DCIAP can </w:t>
      </w:r>
      <w:r w:rsidR="009A61C9" w:rsidRPr="009A61C9">
        <w:rPr>
          <w:rFonts w:ascii="Calibri" w:eastAsia="Times New Roman" w:hAnsi="Calibri" w:cs="Calibri"/>
          <w:bCs/>
          <w:lang w:val="en-GB" w:eastAsia="zh-CN"/>
        </w:rPr>
        <w:t xml:space="preserve">therefore </w:t>
      </w:r>
      <w:r w:rsidRPr="00E76739">
        <w:rPr>
          <w:rFonts w:ascii="Calibri" w:eastAsia="Times New Roman" w:hAnsi="Calibri" w:cs="Calibri"/>
          <w:bCs/>
          <w:lang w:val="en-GB" w:eastAsia="zh-CN"/>
        </w:rPr>
        <w:t xml:space="preserve">provide the FIU with information on already existing formal inquiries, such as possible ongoing investigations. At the same time, the FIU conducts its own preventive investigation and forwards the outcome of its analysis to the DCIAP, as well as to the police competent </w:t>
      </w:r>
      <w:r w:rsidR="009A61C9">
        <w:rPr>
          <w:rFonts w:ascii="Calibri" w:eastAsia="Times New Roman" w:hAnsi="Calibri" w:cs="Calibri"/>
          <w:bCs/>
          <w:lang w:val="en-GB" w:eastAsia="zh-CN"/>
        </w:rPr>
        <w:t xml:space="preserve">in </w:t>
      </w:r>
      <w:r w:rsidRPr="00E76739">
        <w:rPr>
          <w:rFonts w:ascii="Calibri" w:eastAsia="Times New Roman" w:hAnsi="Calibri" w:cs="Calibri"/>
          <w:bCs/>
          <w:lang w:val="en-GB" w:eastAsia="zh-CN"/>
        </w:rPr>
        <w:t xml:space="preserve">investigating drug-related crimes, the </w:t>
      </w:r>
      <w:r w:rsidR="009A61C9">
        <w:rPr>
          <w:rFonts w:ascii="Calibri" w:eastAsia="Times New Roman" w:hAnsi="Calibri" w:cs="Calibri"/>
          <w:bCs/>
          <w:lang w:val="en-GB" w:eastAsia="zh-CN"/>
        </w:rPr>
        <w:t>t</w:t>
      </w:r>
      <w:r w:rsidR="009A61C9" w:rsidRPr="00E76739">
        <w:rPr>
          <w:rFonts w:ascii="Calibri" w:eastAsia="Times New Roman" w:hAnsi="Calibri" w:cs="Calibri"/>
          <w:bCs/>
          <w:lang w:val="en-GB" w:eastAsia="zh-CN"/>
        </w:rPr>
        <w:t xml:space="preserve">ax </w:t>
      </w:r>
      <w:r w:rsidRPr="00E76739">
        <w:rPr>
          <w:rFonts w:ascii="Calibri" w:eastAsia="Times New Roman" w:hAnsi="Calibri" w:cs="Calibri"/>
          <w:bCs/>
          <w:lang w:val="en-GB" w:eastAsia="zh-CN"/>
        </w:rPr>
        <w:t>authorities concerning tax-related crimes (</w:t>
      </w:r>
      <w:r w:rsidR="009A61C9">
        <w:rPr>
          <w:rFonts w:ascii="Calibri" w:eastAsia="Times New Roman" w:hAnsi="Calibri" w:cs="Calibri"/>
          <w:bCs/>
          <w:lang w:val="en-GB" w:eastAsia="zh-CN"/>
        </w:rPr>
        <w:t xml:space="preserve">the </w:t>
      </w:r>
      <w:r w:rsidRPr="00E76739">
        <w:rPr>
          <w:rFonts w:ascii="Calibri" w:eastAsia="Times New Roman" w:hAnsi="Calibri" w:cs="Calibri"/>
          <w:bCs/>
          <w:lang w:val="en-GB" w:eastAsia="zh-CN"/>
        </w:rPr>
        <w:t xml:space="preserve">main receiver of FIU reports) or the </w:t>
      </w:r>
      <w:r w:rsidR="009A61C9">
        <w:rPr>
          <w:rFonts w:ascii="Calibri" w:eastAsia="Times New Roman" w:hAnsi="Calibri" w:cs="Calibri"/>
          <w:bCs/>
          <w:lang w:val="en-GB" w:eastAsia="zh-CN"/>
        </w:rPr>
        <w:t>e</w:t>
      </w:r>
      <w:r w:rsidR="009A61C9" w:rsidRPr="00E76739">
        <w:rPr>
          <w:rFonts w:ascii="Calibri" w:eastAsia="Times New Roman" w:hAnsi="Calibri" w:cs="Calibri"/>
          <w:bCs/>
          <w:lang w:val="en-GB" w:eastAsia="zh-CN"/>
        </w:rPr>
        <w:t xml:space="preserve">conomic </w:t>
      </w:r>
      <w:r w:rsidRPr="00E76739">
        <w:rPr>
          <w:rFonts w:ascii="Calibri" w:eastAsia="Times New Roman" w:hAnsi="Calibri" w:cs="Calibri"/>
          <w:bCs/>
          <w:lang w:val="en-GB" w:eastAsia="zh-CN"/>
        </w:rPr>
        <w:t xml:space="preserve">and </w:t>
      </w:r>
      <w:r w:rsidR="009A61C9">
        <w:rPr>
          <w:rFonts w:ascii="Calibri" w:eastAsia="Times New Roman" w:hAnsi="Calibri" w:cs="Calibri"/>
          <w:bCs/>
          <w:lang w:val="en-GB" w:eastAsia="zh-CN"/>
        </w:rPr>
        <w:t>c</w:t>
      </w:r>
      <w:r w:rsidR="009A61C9" w:rsidRPr="00E76739">
        <w:rPr>
          <w:rFonts w:ascii="Calibri" w:eastAsia="Times New Roman" w:hAnsi="Calibri" w:cs="Calibri"/>
          <w:bCs/>
          <w:lang w:val="en-GB" w:eastAsia="zh-CN"/>
        </w:rPr>
        <w:t xml:space="preserve">orruption </w:t>
      </w:r>
      <w:r w:rsidRPr="00E76739">
        <w:rPr>
          <w:rFonts w:ascii="Calibri" w:eastAsia="Times New Roman" w:hAnsi="Calibri" w:cs="Calibri"/>
          <w:bCs/>
          <w:lang w:val="en-GB" w:eastAsia="zh-CN"/>
        </w:rPr>
        <w:t xml:space="preserve">department within the </w:t>
      </w:r>
      <w:r w:rsidR="009A61C9">
        <w:rPr>
          <w:rFonts w:ascii="Calibri" w:eastAsia="Times New Roman" w:hAnsi="Calibri" w:cs="Calibri"/>
          <w:bCs/>
          <w:lang w:val="en-GB" w:eastAsia="zh-CN"/>
        </w:rPr>
        <w:t>j</w:t>
      </w:r>
      <w:r w:rsidR="009A61C9" w:rsidRPr="00E76739">
        <w:rPr>
          <w:rFonts w:ascii="Calibri" w:eastAsia="Times New Roman" w:hAnsi="Calibri" w:cs="Calibri"/>
          <w:bCs/>
          <w:lang w:val="en-GB" w:eastAsia="zh-CN"/>
        </w:rPr>
        <w:t xml:space="preserve">udicial </w:t>
      </w:r>
      <w:r w:rsidR="009A61C9">
        <w:rPr>
          <w:rFonts w:ascii="Calibri" w:eastAsia="Times New Roman" w:hAnsi="Calibri" w:cs="Calibri"/>
          <w:bCs/>
          <w:lang w:val="en-GB" w:eastAsia="zh-CN"/>
        </w:rPr>
        <w:t>p</w:t>
      </w:r>
      <w:r w:rsidR="009A61C9" w:rsidRPr="00E76739">
        <w:rPr>
          <w:rFonts w:ascii="Calibri" w:eastAsia="Times New Roman" w:hAnsi="Calibri" w:cs="Calibri"/>
          <w:bCs/>
          <w:lang w:val="en-GB" w:eastAsia="zh-CN"/>
        </w:rPr>
        <w:t xml:space="preserve">olice </w:t>
      </w:r>
      <w:r w:rsidRPr="00E76739">
        <w:rPr>
          <w:rFonts w:ascii="Calibri" w:eastAsia="Times New Roman" w:hAnsi="Calibri" w:cs="Calibri"/>
          <w:bCs/>
          <w:lang w:val="en-GB" w:eastAsia="zh-CN"/>
        </w:rPr>
        <w:t>(when the predicate offence is not known). The FIU always forwards the report to the DCIAP once they have confirmed the suspicion presented in the STR. When there is no confirmation of suspicion, DCIAP is not notified and the case is archived in the FIU database</w:t>
      </w:r>
      <w:r w:rsidR="009A61C9">
        <w:rPr>
          <w:rFonts w:ascii="Calibri" w:eastAsia="Times New Roman" w:hAnsi="Calibri" w:cs="Calibri"/>
          <w:bCs/>
          <w:lang w:val="en-GB" w:eastAsia="zh-CN"/>
        </w:rPr>
        <w:t>.</w:t>
      </w:r>
      <w:r w:rsidRPr="00E76739">
        <w:rPr>
          <w:rFonts w:ascii="Calibri" w:eastAsia="Times New Roman" w:hAnsi="Calibri" w:cs="Times New Roman"/>
          <w:bCs/>
          <w:vertAlign w:val="superscript"/>
          <w:lang w:val="en-GB" w:eastAsia="zh-CN"/>
        </w:rPr>
        <w:footnoteReference w:id="62"/>
      </w:r>
      <w:r w:rsidRPr="00E76739">
        <w:rPr>
          <w:rFonts w:ascii="Calibri" w:eastAsia="SimSun" w:hAnsi="Calibri" w:cs="Times New Roman"/>
          <w:b/>
          <w:lang w:val="en-GB" w:eastAsia="zh-CN"/>
        </w:rPr>
        <w:br w:type="page"/>
      </w:r>
    </w:p>
    <w:p w14:paraId="725F41F3" w14:textId="1F8527D0" w:rsidR="00E76739" w:rsidRPr="00E76739" w:rsidRDefault="00E76739" w:rsidP="00E76739">
      <w:pPr>
        <w:spacing w:after="0" w:line="240" w:lineRule="auto"/>
        <w:jc w:val="center"/>
        <w:rPr>
          <w:rFonts w:ascii="Calibri" w:eastAsia="SimSun" w:hAnsi="Calibri" w:cs="Times New Roman"/>
          <w:b/>
          <w:lang w:val="en-GB" w:eastAsia="zh-CN"/>
        </w:rPr>
      </w:pPr>
      <w:bookmarkStart w:id="88" w:name="_Toc350517112"/>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420F8F" w:rsidRPr="00E76739">
        <w:rPr>
          <w:rFonts w:ascii="Calibri" w:eastAsia="SimSun" w:hAnsi="Calibri" w:cs="Times New Roman"/>
          <w:b/>
          <w:lang w:val="en-GB" w:eastAsia="zh-CN"/>
        </w:rPr>
        <w:t>2</w:t>
      </w:r>
      <w:r w:rsidR="00420F8F">
        <w:rPr>
          <w:rFonts w:ascii="Calibri" w:eastAsia="SimSun" w:hAnsi="Calibri" w:cs="Times New Roman"/>
          <w:b/>
          <w:lang w:val="en-GB" w:eastAsia="zh-CN"/>
        </w:rPr>
        <w:t>5</w:t>
      </w:r>
      <w:r w:rsidRPr="00E76739">
        <w:rPr>
          <w:rFonts w:ascii="Calibri" w:eastAsia="SimSun" w:hAnsi="Calibri" w:cs="Times New Roman"/>
          <w:b/>
          <w:lang w:val="en-GB" w:eastAsia="zh-CN"/>
        </w:rPr>
        <w:t>: AML/CTF Information flows in Portugal</w:t>
      </w:r>
      <w:bookmarkEnd w:id="88"/>
    </w:p>
    <w:p w14:paraId="4B720EAC"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71A9BF03" w14:textId="77777777" w:rsidR="00E76739" w:rsidRPr="00E76739" w:rsidRDefault="00E76739" w:rsidP="00E76739">
      <w:pPr>
        <w:spacing w:after="0" w:line="240" w:lineRule="auto"/>
        <w:jc w:val="both"/>
        <w:rPr>
          <w:rFonts w:ascii="Calibri" w:eastAsia="Times New Roman" w:hAnsi="Calibri" w:cs="Calibri"/>
          <w:i/>
          <w:lang w:val="en-GB" w:eastAsia="zh-CN"/>
        </w:rPr>
      </w:pPr>
      <w:r w:rsidRPr="00E76739">
        <w:rPr>
          <w:rFonts w:ascii="Calibri" w:eastAsia="Times New Roman" w:hAnsi="Calibri" w:cs="Calibri"/>
          <w:i/>
          <w:noProof/>
          <w:lang w:val="en-US" w:eastAsia="en-US"/>
        </w:rPr>
        <w:drawing>
          <wp:inline distT="0" distB="0" distL="0" distR="0" wp14:anchorId="6A2CF959" wp14:editId="5A66BFB2">
            <wp:extent cx="5962650" cy="2647950"/>
            <wp:effectExtent l="0" t="0" r="0" b="0"/>
            <wp:docPr id="38" name="Picture 155" descr="PortugalFlow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ortugalFlows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0" cy="2647950"/>
                    </a:xfrm>
                    <a:prstGeom prst="rect">
                      <a:avLst/>
                    </a:prstGeom>
                    <a:noFill/>
                    <a:ln>
                      <a:noFill/>
                    </a:ln>
                  </pic:spPr>
                </pic:pic>
              </a:graphicData>
            </a:graphic>
          </wp:inline>
        </w:drawing>
      </w:r>
    </w:p>
    <w:p w14:paraId="1811D0D3" w14:textId="237A72CA" w:rsidR="00E76739" w:rsidRPr="00E76739" w:rsidRDefault="00E76739" w:rsidP="00E76739">
      <w:pPr>
        <w:spacing w:after="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6329B8">
        <w:rPr>
          <w:rFonts w:ascii="Calibri" w:eastAsia="Calibri" w:hAnsi="Calibri" w:cs="Times New Roman"/>
          <w:i/>
          <w:sz w:val="20"/>
          <w:szCs w:val="20"/>
          <w:lang w:val="en-GB" w:eastAsia="zh-CN"/>
        </w:rPr>
        <w:t>both</w:t>
      </w:r>
      <w:r w:rsidR="006329B8"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6329B8" w:rsidRPr="00E76739">
        <w:rPr>
          <w:rFonts w:ascii="Calibri" w:eastAsia="Times New Roman" w:hAnsi="Calibri" w:cs="Calibri"/>
          <w:i/>
          <w:sz w:val="20"/>
          <w:szCs w:val="20"/>
          <w:lang w:val="en-GB" w:eastAsia="zh-CN"/>
        </w:rPr>
        <w:t>speciali</w:t>
      </w:r>
      <w:r w:rsidR="006329B8">
        <w:rPr>
          <w:rFonts w:ascii="Calibri" w:eastAsia="Times New Roman" w:hAnsi="Calibri" w:cs="Calibri"/>
          <w:i/>
          <w:sz w:val="20"/>
          <w:szCs w:val="20"/>
          <w:lang w:val="en-GB" w:eastAsia="zh-CN"/>
        </w:rPr>
        <w:t>z</w:t>
      </w:r>
      <w:r w:rsidR="006329B8"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in dealing with ML/TF cases.</w:t>
      </w:r>
    </w:p>
    <w:p w14:paraId="7E84F681" w14:textId="77777777" w:rsidR="00E76739" w:rsidRPr="00E76739" w:rsidRDefault="00E76739" w:rsidP="00E76739">
      <w:pPr>
        <w:spacing w:after="0" w:line="240" w:lineRule="auto"/>
        <w:jc w:val="both"/>
        <w:rPr>
          <w:rFonts w:ascii="Calibri" w:eastAsia="Times New Roman" w:hAnsi="Calibri" w:cs="Calibri"/>
          <w:bCs/>
          <w:lang w:val="en-GB" w:eastAsia="zh-CN"/>
        </w:rPr>
      </w:pPr>
    </w:p>
    <w:p w14:paraId="4DF1BA7C" w14:textId="2441C9EC" w:rsidR="00E76739" w:rsidRPr="00E76739" w:rsidRDefault="00E76739" w:rsidP="00E76739">
      <w:pPr>
        <w:spacing w:after="240" w:line="240" w:lineRule="auto"/>
        <w:jc w:val="both"/>
        <w:rPr>
          <w:rFonts w:ascii="Calibri" w:eastAsia="Times New Roman" w:hAnsi="Calibri" w:cs="Calibri"/>
          <w:bCs/>
          <w:lang w:val="en-GB" w:eastAsia="zh-CN"/>
        </w:rPr>
      </w:pPr>
      <w:r w:rsidRPr="00E76739">
        <w:rPr>
          <w:rFonts w:ascii="Calibri" w:eastAsia="Times New Roman" w:hAnsi="Calibri" w:cs="Calibri"/>
          <w:bCs/>
          <w:lang w:val="en-GB" w:eastAsia="zh-CN"/>
        </w:rPr>
        <w:t xml:space="preserve">According to the Portuguese representatives, the Portuguese AML/CTF system is in line with EU models, despite the double reporting system. There is a </w:t>
      </w:r>
      <w:r w:rsidR="00904767" w:rsidRPr="00E76739">
        <w:rPr>
          <w:rFonts w:ascii="Calibri" w:eastAsia="Times New Roman" w:hAnsi="Calibri" w:cs="Calibri"/>
          <w:bCs/>
          <w:lang w:val="en-GB" w:eastAsia="zh-CN"/>
        </w:rPr>
        <w:t>speciali</w:t>
      </w:r>
      <w:r w:rsidR="00904767">
        <w:rPr>
          <w:rFonts w:ascii="Calibri" w:eastAsia="Times New Roman" w:hAnsi="Calibri" w:cs="Calibri"/>
          <w:bCs/>
          <w:lang w:val="en-GB" w:eastAsia="zh-CN"/>
        </w:rPr>
        <w:t>z</w:t>
      </w:r>
      <w:r w:rsidR="00904767" w:rsidRPr="00E76739">
        <w:rPr>
          <w:rFonts w:ascii="Calibri" w:eastAsia="Times New Roman" w:hAnsi="Calibri" w:cs="Calibri"/>
          <w:bCs/>
          <w:lang w:val="en-GB" w:eastAsia="zh-CN"/>
        </w:rPr>
        <w:t xml:space="preserve">ed </w:t>
      </w:r>
      <w:r w:rsidRPr="00E76739">
        <w:rPr>
          <w:rFonts w:ascii="Calibri" w:eastAsia="Times New Roman" w:hAnsi="Calibri" w:cs="Calibri"/>
          <w:bCs/>
          <w:lang w:val="en-GB" w:eastAsia="zh-CN"/>
        </w:rPr>
        <w:t xml:space="preserve">unit for money laundering in the </w:t>
      </w:r>
      <w:r w:rsidR="00904767">
        <w:rPr>
          <w:rFonts w:ascii="Calibri" w:eastAsia="Times New Roman" w:hAnsi="Calibri" w:cs="Calibri"/>
          <w:bCs/>
          <w:lang w:val="en-GB" w:eastAsia="zh-CN"/>
        </w:rPr>
        <w:t>p</w:t>
      </w:r>
      <w:r w:rsidR="00904767" w:rsidRPr="00E76739">
        <w:rPr>
          <w:rFonts w:ascii="Calibri" w:eastAsia="Times New Roman" w:hAnsi="Calibri" w:cs="Calibri"/>
          <w:bCs/>
          <w:lang w:val="en-GB" w:eastAsia="zh-CN"/>
        </w:rPr>
        <w:t xml:space="preserve">olice </w:t>
      </w:r>
      <w:r w:rsidRPr="00E76739">
        <w:rPr>
          <w:rFonts w:ascii="Calibri" w:eastAsia="Times New Roman" w:hAnsi="Calibri" w:cs="Calibri"/>
          <w:bCs/>
          <w:lang w:val="en-GB" w:eastAsia="zh-CN"/>
        </w:rPr>
        <w:t xml:space="preserve">service which receives the FIU reports and a </w:t>
      </w:r>
      <w:r w:rsidR="00904767" w:rsidRPr="00E76739">
        <w:rPr>
          <w:rFonts w:ascii="Calibri" w:eastAsia="Times New Roman" w:hAnsi="Calibri" w:cs="Calibri"/>
          <w:bCs/>
          <w:lang w:val="en-GB" w:eastAsia="zh-CN"/>
        </w:rPr>
        <w:t>speciali</w:t>
      </w:r>
      <w:r w:rsidR="00904767">
        <w:rPr>
          <w:rFonts w:ascii="Calibri" w:eastAsia="Times New Roman" w:hAnsi="Calibri" w:cs="Calibri"/>
          <w:bCs/>
          <w:lang w:val="en-GB" w:eastAsia="zh-CN"/>
        </w:rPr>
        <w:t>z</w:t>
      </w:r>
      <w:r w:rsidR="00904767" w:rsidRPr="00E76739">
        <w:rPr>
          <w:rFonts w:ascii="Calibri" w:eastAsia="Times New Roman" w:hAnsi="Calibri" w:cs="Calibri"/>
          <w:bCs/>
          <w:lang w:val="en-GB" w:eastAsia="zh-CN"/>
        </w:rPr>
        <w:t xml:space="preserve">ed </w:t>
      </w:r>
      <w:r w:rsidRPr="00E76739">
        <w:rPr>
          <w:rFonts w:ascii="Calibri" w:eastAsia="Times New Roman" w:hAnsi="Calibri" w:cs="Calibri"/>
          <w:bCs/>
          <w:lang w:val="en-GB" w:eastAsia="zh-CN"/>
        </w:rPr>
        <w:t xml:space="preserve">unit within the PPO that handles the receipt of STRs and that ensures prosecution of ML and TF cases. According to the Portuguese representatives, the DCIAP handles the more serious money laundering crimes (i.e. the big fraud cases and transnational </w:t>
      </w:r>
      <w:r w:rsidR="00904767" w:rsidRPr="00E76739">
        <w:rPr>
          <w:rFonts w:ascii="Calibri" w:eastAsia="Times New Roman" w:hAnsi="Calibri" w:cs="Calibri"/>
          <w:bCs/>
          <w:lang w:val="en-GB" w:eastAsia="zh-CN"/>
        </w:rPr>
        <w:t>organi</w:t>
      </w:r>
      <w:r w:rsidR="00904767">
        <w:rPr>
          <w:rFonts w:ascii="Calibri" w:eastAsia="Times New Roman" w:hAnsi="Calibri" w:cs="Calibri"/>
          <w:bCs/>
          <w:lang w:val="en-GB" w:eastAsia="zh-CN"/>
        </w:rPr>
        <w:t>z</w:t>
      </w:r>
      <w:r w:rsidR="00904767" w:rsidRPr="00E76739">
        <w:rPr>
          <w:rFonts w:ascii="Calibri" w:eastAsia="Times New Roman" w:hAnsi="Calibri" w:cs="Calibri"/>
          <w:bCs/>
          <w:lang w:val="en-GB" w:eastAsia="zh-CN"/>
        </w:rPr>
        <w:t xml:space="preserve">ed </w:t>
      </w:r>
      <w:r w:rsidRPr="00E76739">
        <w:rPr>
          <w:rFonts w:ascii="Calibri" w:eastAsia="Times New Roman" w:hAnsi="Calibri" w:cs="Calibri"/>
          <w:bCs/>
          <w:lang w:val="en-GB" w:eastAsia="zh-CN"/>
        </w:rPr>
        <w:t>crime</w:t>
      </w:r>
      <w:r w:rsidR="00904767">
        <w:rPr>
          <w:rFonts w:ascii="Calibri" w:eastAsia="Times New Roman" w:hAnsi="Calibri" w:cs="Calibri"/>
          <w:bCs/>
          <w:lang w:val="en-GB" w:eastAsia="zh-CN"/>
        </w:rPr>
        <w:t>,</w:t>
      </w:r>
      <w:r w:rsidRPr="00E76739">
        <w:rPr>
          <w:rFonts w:ascii="Calibri" w:eastAsia="Times New Roman" w:hAnsi="Calibri" w:cs="Calibri"/>
          <w:bCs/>
          <w:lang w:val="en-GB" w:eastAsia="zh-CN"/>
        </w:rPr>
        <w:t xml:space="preserve"> as they are generally related to the big ML cases). The DCIAP staff has had specific training to handle the most complex money laundering cases. </w:t>
      </w:r>
    </w:p>
    <w:p w14:paraId="4D8BF832" w14:textId="4F4DAA11" w:rsidR="00E76739" w:rsidRPr="00E76739" w:rsidRDefault="00E76739" w:rsidP="00E76739">
      <w:pPr>
        <w:spacing w:after="0" w:line="240" w:lineRule="auto"/>
        <w:jc w:val="both"/>
        <w:rPr>
          <w:rFonts w:ascii="Calibri" w:eastAsia="Times New Roman" w:hAnsi="Calibri" w:cs="Calibri"/>
          <w:bCs/>
          <w:lang w:val="en-GB" w:eastAsia="zh-CN"/>
        </w:rPr>
      </w:pPr>
      <w:r w:rsidRPr="00E76739">
        <w:rPr>
          <w:rFonts w:ascii="Calibri" w:eastAsia="Times New Roman" w:hAnsi="Calibri" w:cs="Calibri"/>
          <w:bCs/>
          <w:lang w:val="en-GB" w:eastAsia="zh-CN"/>
        </w:rPr>
        <w:t xml:space="preserve">With respect to feedback, according to the Portuguese representatives, the double reporting ensures that the obliged entities receive more feedback. Furthermore, it allows for continuous cooperation between the FIU and the DCIAP which implies that the FIU receives sufficient feedback from the prosecution. As part of the </w:t>
      </w:r>
      <w:r w:rsidR="00904767">
        <w:rPr>
          <w:rFonts w:ascii="Calibri" w:eastAsia="Times New Roman" w:hAnsi="Calibri" w:cs="Calibri"/>
          <w:bCs/>
          <w:lang w:val="en-GB" w:eastAsia="zh-CN"/>
        </w:rPr>
        <w:t>j</w:t>
      </w:r>
      <w:r w:rsidR="00904767" w:rsidRPr="00E76739">
        <w:rPr>
          <w:rFonts w:ascii="Calibri" w:eastAsia="Times New Roman" w:hAnsi="Calibri" w:cs="Calibri"/>
          <w:bCs/>
          <w:lang w:val="en-GB" w:eastAsia="zh-CN"/>
        </w:rPr>
        <w:t xml:space="preserve">udicial </w:t>
      </w:r>
      <w:r w:rsidR="00904767">
        <w:rPr>
          <w:rFonts w:ascii="Calibri" w:eastAsia="Times New Roman" w:hAnsi="Calibri" w:cs="Calibri"/>
          <w:bCs/>
          <w:lang w:val="en-GB" w:eastAsia="zh-CN"/>
        </w:rPr>
        <w:t>P</w:t>
      </w:r>
      <w:r w:rsidR="00904767" w:rsidRPr="00E76739">
        <w:rPr>
          <w:rFonts w:ascii="Calibri" w:eastAsia="Times New Roman" w:hAnsi="Calibri" w:cs="Calibri"/>
          <w:bCs/>
          <w:lang w:val="en-GB" w:eastAsia="zh-CN"/>
        </w:rPr>
        <w:t>olice</w:t>
      </w:r>
      <w:r w:rsidRPr="00E76739">
        <w:rPr>
          <w:rFonts w:ascii="Calibri" w:eastAsia="Times New Roman" w:hAnsi="Calibri" w:cs="Calibri"/>
          <w:bCs/>
          <w:lang w:val="en-GB" w:eastAsia="zh-CN"/>
        </w:rPr>
        <w:t xml:space="preserve">, the FIU reported good feedback from the </w:t>
      </w:r>
      <w:r w:rsidR="00904767" w:rsidRPr="00E76739">
        <w:rPr>
          <w:rFonts w:ascii="Calibri" w:eastAsia="Times New Roman" w:hAnsi="Calibri" w:cs="Calibri"/>
          <w:bCs/>
          <w:lang w:val="en-GB" w:eastAsia="zh-CN"/>
        </w:rPr>
        <w:t>speciali</w:t>
      </w:r>
      <w:r w:rsidR="00904767">
        <w:rPr>
          <w:rFonts w:ascii="Calibri" w:eastAsia="Times New Roman" w:hAnsi="Calibri" w:cs="Calibri"/>
          <w:bCs/>
          <w:lang w:val="en-GB" w:eastAsia="zh-CN"/>
        </w:rPr>
        <w:t>z</w:t>
      </w:r>
      <w:r w:rsidR="00904767" w:rsidRPr="00E76739">
        <w:rPr>
          <w:rFonts w:ascii="Calibri" w:eastAsia="Times New Roman" w:hAnsi="Calibri" w:cs="Calibri"/>
          <w:bCs/>
          <w:lang w:val="en-GB" w:eastAsia="zh-CN"/>
        </w:rPr>
        <w:t xml:space="preserve">ed </w:t>
      </w:r>
      <w:r w:rsidRPr="00E76739">
        <w:rPr>
          <w:rFonts w:ascii="Calibri" w:eastAsia="Times New Roman" w:hAnsi="Calibri" w:cs="Calibri"/>
          <w:bCs/>
          <w:lang w:val="en-GB" w:eastAsia="zh-CN"/>
        </w:rPr>
        <w:t>police units it collaborates with.</w:t>
      </w:r>
    </w:p>
    <w:p w14:paraId="0DBD6524" w14:textId="77777777" w:rsidR="00E76739" w:rsidRPr="00E76739" w:rsidRDefault="00E76739" w:rsidP="00E76739">
      <w:pPr>
        <w:spacing w:after="0" w:line="240" w:lineRule="auto"/>
        <w:jc w:val="both"/>
        <w:rPr>
          <w:rFonts w:ascii="Calibri" w:eastAsia="SimSun" w:hAnsi="Calibri" w:cs="Times New Roman"/>
          <w:b/>
          <w:bCs/>
          <w:lang w:val="en-GB" w:eastAsia="zh-CN"/>
        </w:rPr>
      </w:pPr>
      <w:bookmarkStart w:id="89" w:name="_Toc341109098"/>
      <w:bookmarkStart w:id="90" w:name="_Toc341266538"/>
      <w:bookmarkStart w:id="91" w:name="_Toc341269293"/>
    </w:p>
    <w:p w14:paraId="35DDDACA" w14:textId="77777777" w:rsidR="00E76739" w:rsidRPr="00E76739" w:rsidRDefault="00E76739" w:rsidP="00E76739">
      <w:pPr>
        <w:spacing w:after="0" w:line="240" w:lineRule="auto"/>
        <w:jc w:val="both"/>
        <w:rPr>
          <w:rFonts w:ascii="Calibri" w:eastAsia="SimSun" w:hAnsi="Calibri" w:cs="Times New Roman"/>
          <w:b/>
          <w:bCs/>
          <w:lang w:val="en-GB" w:eastAsia="zh-CN"/>
        </w:rPr>
      </w:pPr>
    </w:p>
    <w:p w14:paraId="1B1F4084" w14:textId="77777777" w:rsidR="00E76739" w:rsidRPr="00E76739" w:rsidRDefault="00BA07A1" w:rsidP="00E76739">
      <w:pPr>
        <w:spacing w:after="24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.5.22 Romania</w:t>
      </w:r>
      <w:bookmarkEnd w:id="89"/>
      <w:bookmarkEnd w:id="90"/>
      <w:bookmarkEnd w:id="91"/>
    </w:p>
    <w:p w14:paraId="18FAC639" w14:textId="35742D8F" w:rsidR="00E76739" w:rsidRPr="00E76739" w:rsidRDefault="00E76739" w:rsidP="00E76739">
      <w:pPr>
        <w:autoSpaceDE w:val="0"/>
        <w:autoSpaceDN w:val="0"/>
        <w:adjustRightInd w:val="0"/>
        <w:spacing w:after="240" w:line="240" w:lineRule="auto"/>
        <w:jc w:val="both"/>
        <w:rPr>
          <w:rFonts w:ascii="Calibri" w:eastAsia="Times New Roman" w:hAnsi="Calibri" w:cs="Arial"/>
          <w:color w:val="222222"/>
          <w:lang w:val="en-GB" w:eastAsia="zh-CN"/>
        </w:rPr>
      </w:pPr>
      <w:r w:rsidRPr="00E76739">
        <w:rPr>
          <w:rFonts w:ascii="Calibri" w:eastAsia="Times New Roman" w:hAnsi="Calibri" w:cs="Verdana,Bold"/>
          <w:bCs/>
          <w:lang w:val="en-GB" w:eastAsia="zh-CN"/>
        </w:rPr>
        <w:t xml:space="preserve">The Romanian FIU forwards its reports to the PPO and </w:t>
      </w:r>
      <w:r w:rsidR="00627CB8" w:rsidRPr="00E76739">
        <w:rPr>
          <w:rFonts w:ascii="Calibri" w:eastAsia="Times New Roman" w:hAnsi="Calibri" w:cs="Verdana,Bold"/>
          <w:bCs/>
          <w:lang w:val="en-GB" w:eastAsia="zh-CN"/>
        </w:rPr>
        <w:t>c</w:t>
      </w:r>
      <w:r w:rsidR="00627CB8">
        <w:rPr>
          <w:rFonts w:ascii="Calibri" w:eastAsia="Times New Roman" w:hAnsi="Calibri" w:cs="Verdana,Bold"/>
          <w:bCs/>
          <w:lang w:val="en-GB" w:eastAsia="zh-CN"/>
        </w:rPr>
        <w:t>an</w:t>
      </w:r>
      <w:r w:rsidR="00627CB8" w:rsidRPr="00E76739">
        <w:rPr>
          <w:rFonts w:ascii="Calibri" w:eastAsia="Times New Roman" w:hAnsi="Calibri" w:cs="Verdana,Bold"/>
          <w:bCs/>
          <w:lang w:val="en-GB" w:eastAsia="zh-CN"/>
        </w:rPr>
        <w:t xml:space="preserve"> </w:t>
      </w:r>
      <w:r w:rsidRPr="00E76739">
        <w:rPr>
          <w:rFonts w:ascii="Calibri" w:eastAsia="Times New Roman" w:hAnsi="Calibri" w:cs="Verdana,Bold"/>
          <w:bCs/>
          <w:lang w:val="en-GB" w:eastAsia="zh-CN"/>
        </w:rPr>
        <w:t xml:space="preserve">also forward them to the </w:t>
      </w:r>
      <w:r w:rsidR="00627CB8">
        <w:rPr>
          <w:rFonts w:ascii="Calibri" w:eastAsia="Times New Roman" w:hAnsi="Calibri" w:cs="Verdana,Bold"/>
          <w:bCs/>
          <w:lang w:val="en-GB" w:eastAsia="zh-CN"/>
        </w:rPr>
        <w:t>j</w:t>
      </w:r>
      <w:r w:rsidR="00627CB8" w:rsidRPr="00E76739">
        <w:rPr>
          <w:rFonts w:ascii="Calibri" w:eastAsia="Times New Roman" w:hAnsi="Calibri" w:cs="Verdana,Bold"/>
          <w:bCs/>
          <w:lang w:val="en-GB" w:eastAsia="zh-CN"/>
        </w:rPr>
        <w:t xml:space="preserve">udicial </w:t>
      </w:r>
      <w:r w:rsidR="00627CB8">
        <w:rPr>
          <w:rFonts w:ascii="Calibri" w:eastAsia="Times New Roman" w:hAnsi="Calibri" w:cs="Verdana,Bold"/>
          <w:bCs/>
          <w:lang w:val="en-GB" w:eastAsia="zh-CN"/>
        </w:rPr>
        <w:t>p</w:t>
      </w:r>
      <w:r w:rsidR="00627CB8" w:rsidRPr="00E76739">
        <w:rPr>
          <w:rFonts w:ascii="Calibri" w:eastAsia="Times New Roman" w:hAnsi="Calibri" w:cs="Verdana,Bold"/>
          <w:bCs/>
          <w:lang w:val="en-GB" w:eastAsia="zh-CN"/>
        </w:rPr>
        <w:t>olice</w:t>
      </w:r>
      <w:r w:rsidRPr="00E76739">
        <w:rPr>
          <w:rFonts w:ascii="Calibri" w:eastAsia="Times New Roman" w:hAnsi="Calibri" w:cs="Verdana,Bold"/>
          <w:bCs/>
          <w:lang w:val="en-GB" w:eastAsia="zh-CN"/>
        </w:rPr>
        <w:t xml:space="preserve">. </w:t>
      </w:r>
      <w:r w:rsidRPr="00E76739">
        <w:rPr>
          <w:rFonts w:ascii="Calibri" w:eastAsia="Times New Roman" w:hAnsi="Calibri" w:cs="Arial"/>
          <w:color w:val="222222"/>
          <w:lang w:val="en-GB" w:eastAsia="zh-CN"/>
        </w:rPr>
        <w:t xml:space="preserve">The information </w:t>
      </w:r>
      <w:r w:rsidR="00627CB8">
        <w:rPr>
          <w:rFonts w:ascii="Calibri" w:eastAsia="Times New Roman" w:hAnsi="Calibri" w:cs="Arial"/>
          <w:color w:val="222222"/>
          <w:lang w:val="en-GB" w:eastAsia="zh-CN"/>
        </w:rPr>
        <w:t>held by</w:t>
      </w:r>
      <w:r w:rsidR="00627CB8" w:rsidRPr="00E76739">
        <w:rPr>
          <w:rFonts w:ascii="Calibri" w:eastAsia="Times New Roman" w:hAnsi="Calibri" w:cs="Arial"/>
          <w:color w:val="222222"/>
          <w:lang w:val="en-GB" w:eastAsia="zh-CN"/>
        </w:rPr>
        <w:t xml:space="preserve"> </w:t>
      </w:r>
      <w:r w:rsidRPr="00E76739">
        <w:rPr>
          <w:rFonts w:ascii="Calibri" w:eastAsia="Times New Roman" w:hAnsi="Calibri" w:cs="Arial"/>
          <w:color w:val="222222"/>
          <w:lang w:val="en-GB" w:eastAsia="zh-CN"/>
        </w:rPr>
        <w:t xml:space="preserve">the FIU is generally taken as a starting point in </w:t>
      </w:r>
      <w:r w:rsidR="00627CB8">
        <w:rPr>
          <w:rFonts w:ascii="Calibri" w:eastAsia="Times New Roman" w:hAnsi="Calibri" w:cs="Arial"/>
          <w:color w:val="222222"/>
          <w:lang w:val="en-GB" w:eastAsia="zh-CN"/>
        </w:rPr>
        <w:t>a</w:t>
      </w:r>
      <w:r w:rsidR="00627CB8" w:rsidRPr="00E76739">
        <w:rPr>
          <w:rFonts w:ascii="Calibri" w:eastAsia="Times New Roman" w:hAnsi="Calibri" w:cs="Arial"/>
          <w:color w:val="222222"/>
          <w:lang w:val="en-GB" w:eastAsia="zh-CN"/>
        </w:rPr>
        <w:t xml:space="preserve"> </w:t>
      </w:r>
      <w:r w:rsidRPr="00E76739">
        <w:rPr>
          <w:rFonts w:ascii="Calibri" w:eastAsia="Times New Roman" w:hAnsi="Calibri" w:cs="Arial"/>
          <w:color w:val="222222"/>
          <w:lang w:val="en-GB" w:eastAsia="zh-CN"/>
        </w:rPr>
        <w:t xml:space="preserve">criminal investigation as the FIU is an administrative FIU. According to the Romanian representative, the PPO usually asks for additional information from the FIU, such as supplementary analysis </w:t>
      </w:r>
      <w:r w:rsidR="00627CB8" w:rsidRPr="00E76739">
        <w:rPr>
          <w:rFonts w:ascii="Calibri" w:eastAsia="Times New Roman" w:hAnsi="Calibri" w:cs="Arial"/>
          <w:color w:val="222222"/>
          <w:lang w:val="en-GB" w:eastAsia="zh-CN"/>
        </w:rPr>
        <w:t>o</w:t>
      </w:r>
      <w:r w:rsidR="00627CB8">
        <w:rPr>
          <w:rFonts w:ascii="Calibri" w:eastAsia="Times New Roman" w:hAnsi="Calibri" w:cs="Arial"/>
          <w:color w:val="222222"/>
          <w:lang w:val="en-GB" w:eastAsia="zh-CN"/>
        </w:rPr>
        <w:t>f</w:t>
      </w:r>
      <w:r w:rsidR="00627CB8" w:rsidRPr="00E76739">
        <w:rPr>
          <w:rFonts w:ascii="Calibri" w:eastAsia="Times New Roman" w:hAnsi="Calibri" w:cs="Arial"/>
          <w:color w:val="222222"/>
          <w:lang w:val="en-GB" w:eastAsia="zh-CN"/>
        </w:rPr>
        <w:t xml:space="preserve"> </w:t>
      </w:r>
      <w:r w:rsidRPr="00E76739">
        <w:rPr>
          <w:rFonts w:ascii="Calibri" w:eastAsia="Times New Roman" w:hAnsi="Calibri" w:cs="Arial"/>
          <w:color w:val="222222"/>
          <w:lang w:val="en-GB" w:eastAsia="zh-CN"/>
        </w:rPr>
        <w:t xml:space="preserve">transactions involving suspicion </w:t>
      </w:r>
      <w:r w:rsidR="00627CB8" w:rsidRPr="00E76739">
        <w:rPr>
          <w:rFonts w:ascii="Calibri" w:eastAsia="Times New Roman" w:hAnsi="Calibri" w:cs="Arial"/>
          <w:color w:val="222222"/>
          <w:lang w:val="en-GB" w:eastAsia="zh-CN"/>
        </w:rPr>
        <w:t>o</w:t>
      </w:r>
      <w:r w:rsidR="00627CB8">
        <w:rPr>
          <w:rFonts w:ascii="Calibri" w:eastAsia="Times New Roman" w:hAnsi="Calibri" w:cs="Arial"/>
          <w:color w:val="222222"/>
          <w:lang w:val="en-GB" w:eastAsia="zh-CN"/>
        </w:rPr>
        <w:t>f</w:t>
      </w:r>
      <w:r w:rsidR="00627CB8" w:rsidRPr="00E76739">
        <w:rPr>
          <w:rFonts w:ascii="Calibri" w:eastAsia="Times New Roman" w:hAnsi="Calibri" w:cs="Arial"/>
          <w:color w:val="222222"/>
          <w:lang w:val="en-GB" w:eastAsia="zh-CN"/>
        </w:rPr>
        <w:t xml:space="preserve"> </w:t>
      </w:r>
      <w:r w:rsidRPr="00E76739">
        <w:rPr>
          <w:rFonts w:ascii="Calibri" w:eastAsia="Times New Roman" w:hAnsi="Calibri" w:cs="Arial"/>
          <w:color w:val="222222"/>
          <w:lang w:val="en-GB" w:eastAsia="zh-CN"/>
        </w:rPr>
        <w:t xml:space="preserve">money laundering as well as information on criminal investigations on money laundering that do not originate from an FIU report. In Romania, the competence for prosecuting ML is divided between three prosecution units – the Directorate for Investigating </w:t>
      </w:r>
      <w:r w:rsidR="00627CB8" w:rsidRPr="00E76739">
        <w:rPr>
          <w:rFonts w:ascii="Calibri" w:eastAsia="Times New Roman" w:hAnsi="Calibri" w:cs="Arial"/>
          <w:color w:val="222222"/>
          <w:lang w:val="en-GB" w:eastAsia="zh-CN"/>
        </w:rPr>
        <w:t>Organi</w:t>
      </w:r>
      <w:r w:rsidR="00627CB8">
        <w:rPr>
          <w:rFonts w:ascii="Calibri" w:eastAsia="Times New Roman" w:hAnsi="Calibri" w:cs="Arial"/>
          <w:color w:val="222222"/>
          <w:lang w:val="en-GB" w:eastAsia="zh-CN"/>
        </w:rPr>
        <w:t>z</w:t>
      </w:r>
      <w:r w:rsidR="00627CB8" w:rsidRPr="00E76739">
        <w:rPr>
          <w:rFonts w:ascii="Calibri" w:eastAsia="Times New Roman" w:hAnsi="Calibri" w:cs="Arial"/>
          <w:color w:val="222222"/>
          <w:lang w:val="en-GB" w:eastAsia="zh-CN"/>
        </w:rPr>
        <w:t xml:space="preserve">ed </w:t>
      </w:r>
      <w:r w:rsidRPr="00E76739">
        <w:rPr>
          <w:rFonts w:ascii="Calibri" w:eastAsia="Times New Roman" w:hAnsi="Calibri" w:cs="Arial"/>
          <w:color w:val="222222"/>
          <w:lang w:val="en-GB" w:eastAsia="zh-CN"/>
        </w:rPr>
        <w:t xml:space="preserve">Crime and Terrorism (DIOCT), the National Anticorruption Directorate (NAD) and other national prosecution offices </w:t>
      </w:r>
      <w:r w:rsidR="00627CB8">
        <w:rPr>
          <w:rFonts w:ascii="Calibri" w:eastAsia="Times New Roman" w:hAnsi="Calibri" w:cs="Arial"/>
          <w:color w:val="222222"/>
          <w:lang w:val="en-GB" w:eastAsia="zh-CN"/>
        </w:rPr>
        <w:t>–</w:t>
      </w:r>
      <w:r w:rsidRPr="00E76739">
        <w:rPr>
          <w:rFonts w:ascii="Calibri" w:eastAsia="Times New Roman" w:hAnsi="Calibri" w:cs="Arial"/>
          <w:color w:val="222222"/>
          <w:lang w:val="en-GB" w:eastAsia="zh-CN"/>
        </w:rPr>
        <w:t xml:space="preserve"> depending on the predicate offence. DIOCT is the main </w:t>
      </w:r>
      <w:r w:rsidR="00627CB8" w:rsidRPr="00E76739">
        <w:rPr>
          <w:rFonts w:ascii="Calibri" w:eastAsia="Times New Roman" w:hAnsi="Calibri" w:cs="Arial"/>
          <w:color w:val="222222"/>
          <w:lang w:val="en-GB" w:eastAsia="zh-CN"/>
        </w:rPr>
        <w:t>speciali</w:t>
      </w:r>
      <w:r w:rsidR="00627CB8">
        <w:rPr>
          <w:rFonts w:ascii="Calibri" w:eastAsia="Times New Roman" w:hAnsi="Calibri" w:cs="Arial"/>
          <w:color w:val="222222"/>
          <w:lang w:val="en-GB" w:eastAsia="zh-CN"/>
        </w:rPr>
        <w:t>z</w:t>
      </w:r>
      <w:r w:rsidR="00627CB8" w:rsidRPr="00E76739">
        <w:rPr>
          <w:rFonts w:ascii="Calibri" w:eastAsia="Times New Roman" w:hAnsi="Calibri" w:cs="Arial"/>
          <w:color w:val="222222"/>
          <w:lang w:val="en-GB" w:eastAsia="zh-CN"/>
        </w:rPr>
        <w:t xml:space="preserve">ed </w:t>
      </w:r>
      <w:r w:rsidRPr="00E76739">
        <w:rPr>
          <w:rFonts w:ascii="Calibri" w:eastAsia="Times New Roman" w:hAnsi="Calibri" w:cs="Arial"/>
          <w:color w:val="222222"/>
          <w:lang w:val="en-GB" w:eastAsia="zh-CN"/>
        </w:rPr>
        <w:t xml:space="preserve">prosecution unit dealing with AML/CTF matters. Both the DIOCT and the NAD work with </w:t>
      </w:r>
      <w:r w:rsidR="00627CB8" w:rsidRPr="00E76739">
        <w:rPr>
          <w:rFonts w:ascii="Calibri" w:eastAsia="Times New Roman" w:hAnsi="Calibri" w:cs="Arial"/>
          <w:color w:val="222222"/>
          <w:lang w:val="en-GB" w:eastAsia="zh-CN"/>
        </w:rPr>
        <w:t>speciali</w:t>
      </w:r>
      <w:r w:rsidR="00627CB8">
        <w:rPr>
          <w:rFonts w:ascii="Calibri" w:eastAsia="Times New Roman" w:hAnsi="Calibri" w:cs="Arial"/>
          <w:color w:val="222222"/>
          <w:lang w:val="en-GB" w:eastAsia="zh-CN"/>
        </w:rPr>
        <w:t>z</w:t>
      </w:r>
      <w:r w:rsidR="00627CB8" w:rsidRPr="00E76739">
        <w:rPr>
          <w:rFonts w:ascii="Calibri" w:eastAsia="Times New Roman" w:hAnsi="Calibri" w:cs="Arial"/>
          <w:color w:val="222222"/>
          <w:lang w:val="en-GB" w:eastAsia="zh-CN"/>
        </w:rPr>
        <w:t xml:space="preserve">ed </w:t>
      </w:r>
      <w:r w:rsidRPr="00E76739">
        <w:rPr>
          <w:rFonts w:ascii="Calibri" w:eastAsia="Times New Roman" w:hAnsi="Calibri" w:cs="Arial"/>
          <w:color w:val="222222"/>
          <w:lang w:val="en-GB" w:eastAsia="zh-CN"/>
        </w:rPr>
        <w:t xml:space="preserve">police forces within the Ministry of Interior </w:t>
      </w:r>
      <w:r w:rsidR="00627CB8">
        <w:rPr>
          <w:rFonts w:ascii="Calibri" w:eastAsia="Times New Roman" w:hAnsi="Calibri" w:cs="Arial"/>
          <w:color w:val="222222"/>
          <w:lang w:val="en-GB" w:eastAsia="zh-CN"/>
        </w:rPr>
        <w:t>A</w:t>
      </w:r>
      <w:r w:rsidR="00627CB8" w:rsidRPr="00E76739">
        <w:rPr>
          <w:rFonts w:ascii="Calibri" w:eastAsia="Times New Roman" w:hAnsi="Calibri" w:cs="Arial"/>
          <w:color w:val="222222"/>
          <w:lang w:val="en-GB" w:eastAsia="zh-CN"/>
        </w:rPr>
        <w:t>ffairs</w:t>
      </w:r>
      <w:r w:rsidRPr="00E76739">
        <w:rPr>
          <w:rFonts w:ascii="Calibri" w:eastAsia="Times New Roman" w:hAnsi="Calibri" w:cs="Arial"/>
          <w:color w:val="222222"/>
          <w:lang w:val="en-GB" w:eastAsia="zh-CN"/>
        </w:rPr>
        <w:t xml:space="preserve">. </w:t>
      </w:r>
    </w:p>
    <w:p w14:paraId="67932A02" w14:textId="77777777" w:rsidR="00E76739" w:rsidRPr="00E76739" w:rsidRDefault="00E76739" w:rsidP="00E76739">
      <w:pPr>
        <w:spacing w:after="0" w:line="240" w:lineRule="auto"/>
        <w:rPr>
          <w:rFonts w:ascii="Calibri" w:eastAsia="SimSun" w:hAnsi="Calibri" w:cs="Times New Roman"/>
          <w:b/>
          <w:lang w:val="en-GB" w:eastAsia="zh-CN"/>
        </w:rPr>
      </w:pPr>
      <w:r w:rsidRPr="00E76739">
        <w:rPr>
          <w:rFonts w:ascii="Calibri" w:eastAsia="SimSun" w:hAnsi="Calibri" w:cs="Times New Roman"/>
          <w:b/>
          <w:lang w:val="en-GB" w:eastAsia="zh-CN"/>
        </w:rPr>
        <w:br w:type="page"/>
      </w:r>
    </w:p>
    <w:p w14:paraId="13BF7C80" w14:textId="450487E9" w:rsidR="00E76739" w:rsidRPr="00E76739" w:rsidRDefault="00E76739" w:rsidP="00E76739">
      <w:pPr>
        <w:spacing w:after="0" w:line="240" w:lineRule="auto"/>
        <w:jc w:val="center"/>
        <w:rPr>
          <w:rFonts w:ascii="Calibri" w:eastAsia="SimSun" w:hAnsi="Calibri" w:cs="Times New Roman"/>
          <w:b/>
          <w:lang w:val="en-GB" w:eastAsia="zh-CN"/>
        </w:rPr>
      </w:pPr>
      <w:bookmarkStart w:id="92" w:name="_Toc350517113"/>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420F8F" w:rsidRPr="00E76739">
        <w:rPr>
          <w:rFonts w:ascii="Calibri" w:eastAsia="SimSun" w:hAnsi="Calibri" w:cs="Times New Roman"/>
          <w:b/>
          <w:lang w:val="en-GB" w:eastAsia="zh-CN"/>
        </w:rPr>
        <w:t>2</w:t>
      </w:r>
      <w:r w:rsidR="00420F8F">
        <w:rPr>
          <w:rFonts w:ascii="Calibri" w:eastAsia="SimSun" w:hAnsi="Calibri" w:cs="Times New Roman"/>
          <w:b/>
          <w:lang w:val="en-GB" w:eastAsia="zh-CN"/>
        </w:rPr>
        <w:t>6</w:t>
      </w:r>
      <w:r w:rsidRPr="00E76739">
        <w:rPr>
          <w:rFonts w:ascii="Calibri" w:eastAsia="SimSun" w:hAnsi="Calibri" w:cs="Times New Roman"/>
          <w:b/>
          <w:lang w:val="en-GB" w:eastAsia="zh-CN"/>
        </w:rPr>
        <w:t>: AML/CTF information flows in Romania</w:t>
      </w:r>
      <w:bookmarkEnd w:id="92"/>
    </w:p>
    <w:p w14:paraId="3417F1F3" w14:textId="77777777" w:rsidR="00E76739" w:rsidRPr="00E76739" w:rsidRDefault="00E76739" w:rsidP="00E76739">
      <w:pPr>
        <w:keepNext/>
        <w:keepLines/>
        <w:spacing w:after="240" w:line="240" w:lineRule="auto"/>
        <w:jc w:val="both"/>
        <w:outlineLvl w:val="2"/>
        <w:rPr>
          <w:rFonts w:ascii="Cambria" w:eastAsia="Times New Roman" w:hAnsi="Cambria" w:cs="Times New Roman"/>
          <w:b/>
          <w:bCs/>
          <w:color w:val="4F81BD"/>
          <w:lang w:val="en-GB" w:eastAsia="zh-CN"/>
        </w:rPr>
      </w:pPr>
    </w:p>
    <w:p w14:paraId="15A9BAA4" w14:textId="77777777" w:rsidR="00E76739" w:rsidRPr="00E76739" w:rsidRDefault="00E76739" w:rsidP="00E76739">
      <w:pPr>
        <w:spacing w:after="240" w:line="240" w:lineRule="auto"/>
        <w:jc w:val="both"/>
        <w:rPr>
          <w:rFonts w:ascii="Calibri" w:eastAsia="Times New Roman" w:hAnsi="Calibri" w:cs="Calibri"/>
          <w:color w:val="0000FF"/>
          <w:lang w:val="en-GB" w:eastAsia="zh-CN"/>
        </w:rPr>
      </w:pPr>
      <w:r w:rsidRPr="00E76739">
        <w:rPr>
          <w:rFonts w:ascii="Calibri" w:eastAsia="Times New Roman" w:hAnsi="Calibri" w:cs="Calibri"/>
          <w:noProof/>
          <w:color w:val="0000FF"/>
          <w:lang w:val="en-US" w:eastAsia="en-US"/>
        </w:rPr>
        <w:drawing>
          <wp:inline distT="0" distB="0" distL="0" distR="0" wp14:anchorId="32D4ECE0" wp14:editId="2D9025B8">
            <wp:extent cx="5962650" cy="2933700"/>
            <wp:effectExtent l="0" t="0" r="0" b="0"/>
            <wp:docPr id="39" name="Afbeelding 42" descr="GreekFlow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eekFlow (1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2650" cy="2933700"/>
                    </a:xfrm>
                    <a:prstGeom prst="rect">
                      <a:avLst/>
                    </a:prstGeom>
                    <a:noFill/>
                    <a:ln>
                      <a:noFill/>
                    </a:ln>
                  </pic:spPr>
                </pic:pic>
              </a:graphicData>
            </a:graphic>
          </wp:inline>
        </w:drawing>
      </w:r>
    </w:p>
    <w:p w14:paraId="2B69E45F" w14:textId="569099C6" w:rsidR="00E76739" w:rsidRPr="00E76739" w:rsidRDefault="00E76739" w:rsidP="00E76739">
      <w:pPr>
        <w:spacing w:after="24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2C36F7">
        <w:rPr>
          <w:rFonts w:ascii="Calibri" w:eastAsia="Calibri" w:hAnsi="Calibri" w:cs="Times New Roman"/>
          <w:i/>
          <w:sz w:val="20"/>
          <w:szCs w:val="20"/>
          <w:lang w:val="en-GB" w:eastAsia="zh-CN"/>
        </w:rPr>
        <w:t>both</w:t>
      </w:r>
      <w:r w:rsidR="002C36F7"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2C36F7" w:rsidRPr="00E76739">
        <w:rPr>
          <w:rFonts w:ascii="Calibri" w:eastAsia="Times New Roman" w:hAnsi="Calibri" w:cs="Calibri"/>
          <w:i/>
          <w:sz w:val="20"/>
          <w:szCs w:val="20"/>
          <w:lang w:val="en-GB" w:eastAsia="zh-CN"/>
        </w:rPr>
        <w:t>speciali</w:t>
      </w:r>
      <w:r w:rsidR="002C36F7">
        <w:rPr>
          <w:rFonts w:ascii="Calibri" w:eastAsia="Times New Roman" w:hAnsi="Calibri" w:cs="Calibri"/>
          <w:i/>
          <w:sz w:val="20"/>
          <w:szCs w:val="20"/>
          <w:lang w:val="en-GB" w:eastAsia="zh-CN"/>
        </w:rPr>
        <w:t>z</w:t>
      </w:r>
      <w:r w:rsidR="002C36F7"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in dealing with ML/TF cases.</w:t>
      </w:r>
    </w:p>
    <w:p w14:paraId="186ACC3B" w14:textId="0DF3A8B2"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The FIU receives good feedback from the PPO, although it would like to see this intensified. Having regard to the importance of cooperative relationships between law enforcement authorities and the FIU, </w:t>
      </w:r>
      <w:r w:rsidR="00CE1F1E">
        <w:rPr>
          <w:rFonts w:ascii="Calibri" w:eastAsia="Times New Roman" w:hAnsi="Calibri" w:cs="Calibri"/>
          <w:lang w:val="en-GB" w:eastAsia="zh-CN"/>
        </w:rPr>
        <w:t>at</w:t>
      </w:r>
      <w:r w:rsidR="00CE1F1E"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the beginning of 2009, a Cooperation Protocol was concluded between the General Prosecutor’s Office by the High Court of Cassation and Justice (GPOHCCJ) and the FIU on the implementation of the Romanian National Action Plan.</w:t>
      </w:r>
      <w:r w:rsidR="00CE1F1E">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The Romanian representatives argue that the feedback reflects good work on behalf of the FIU in terms of the documentation it provides to the investigative authorities. Feedback from the judicial police is limited, but the FIU representatives did not seem </w:t>
      </w:r>
      <w:r w:rsidR="00CE1F1E">
        <w:rPr>
          <w:rFonts w:ascii="Calibri" w:eastAsia="Times New Roman" w:hAnsi="Calibri" w:cs="Calibri"/>
          <w:lang w:val="en-GB" w:eastAsia="zh-CN"/>
        </w:rPr>
        <w:t>concerned</w:t>
      </w:r>
      <w:r w:rsidR="00CE1F1E"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as long as the PPOs provide additional feedback. </w:t>
      </w:r>
    </w:p>
    <w:p w14:paraId="5429C45B" w14:textId="77777777" w:rsidR="00E76739" w:rsidRPr="00E76739" w:rsidRDefault="00E76739" w:rsidP="00E76739">
      <w:pPr>
        <w:spacing w:after="0" w:line="240" w:lineRule="auto"/>
        <w:jc w:val="both"/>
        <w:rPr>
          <w:rFonts w:ascii="Calibri" w:eastAsia="Times New Roman" w:hAnsi="Calibri" w:cs="Calibri"/>
          <w:i/>
          <w:u w:val="single"/>
          <w:lang w:val="en-GB" w:eastAsia="zh-CN"/>
        </w:rPr>
      </w:pPr>
      <w:bookmarkStart w:id="93" w:name="_Toc341109099"/>
      <w:bookmarkStart w:id="94" w:name="_Toc341266539"/>
      <w:bookmarkStart w:id="95" w:name="_Toc341269294"/>
    </w:p>
    <w:p w14:paraId="615EB77D" w14:textId="77777777" w:rsidR="00E76739" w:rsidRPr="00E76739" w:rsidRDefault="00BA07A1" w:rsidP="00E76739">
      <w:pPr>
        <w:spacing w:after="24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.5.23 Slovenia</w:t>
      </w:r>
      <w:bookmarkEnd w:id="93"/>
      <w:bookmarkEnd w:id="94"/>
      <w:bookmarkEnd w:id="95"/>
    </w:p>
    <w:p w14:paraId="09B22DD9" w14:textId="602404B6"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Slovenia has opted for the administrative type of FIU, which does not have police competences, but has a special role in detection and prevention of money laundering and terrorist financing. According to the Slovenian representative, the advantage of such FIUs is the ability to develop trust and cooperation between the FIU and the financial institutions. The OMLP is the administrative office within the Ministry of Finance and acts as a clearing house between the reporting entities and the law enforcement authorities.</w:t>
      </w:r>
      <w:r w:rsidR="00DA07F4">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The OMLP analyses the STRs sent by the obliged entities and if it establishes the reasons for suspicion of money laundering, terrorist financing or other criminal offences, it forwards the gathered data as notification or information to the </w:t>
      </w:r>
      <w:r w:rsidR="00F520E3">
        <w:rPr>
          <w:rFonts w:ascii="Calibri" w:eastAsia="Calibri" w:hAnsi="Calibri" w:cs="Times New Roman"/>
          <w:lang w:val="en-GB" w:eastAsia="zh-CN"/>
        </w:rPr>
        <w:t>p</w:t>
      </w:r>
      <w:r w:rsidR="00F520E3"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or to the State Prosecutor Office for further investigation. OMLP notifications are intelligence data containing sensitive financial data, and not criminal reports in the sense of the Criminal Procedure Act.</w:t>
      </w:r>
      <w:r w:rsidRPr="00E76739">
        <w:rPr>
          <w:rFonts w:ascii="Calibri" w:eastAsia="Calibri" w:hAnsi="Calibri" w:cs="Times New Roman"/>
          <w:vertAlign w:val="superscript"/>
          <w:lang w:val="en-GB" w:eastAsia="zh-CN"/>
        </w:rPr>
        <w:footnoteReference w:id="63"/>
      </w:r>
    </w:p>
    <w:p w14:paraId="1395A5D7" w14:textId="20668E2E" w:rsidR="00E76739" w:rsidRPr="00E76739" w:rsidRDefault="00E35E07" w:rsidP="00E76739">
      <w:pPr>
        <w:spacing w:after="240" w:line="240" w:lineRule="auto"/>
        <w:jc w:val="both"/>
        <w:rPr>
          <w:rFonts w:ascii="Calibri" w:eastAsia="Calibri" w:hAnsi="Calibri" w:cs="Times New Roman"/>
          <w:lang w:val="en-GB" w:eastAsia="zh-CN"/>
        </w:rPr>
      </w:pPr>
      <w:r>
        <w:rPr>
          <w:rFonts w:ascii="Calibri" w:eastAsia="Calibri" w:hAnsi="Calibri" w:cs="Times New Roman"/>
          <w:lang w:val="en-GB" w:eastAsia="zh-CN"/>
        </w:rPr>
        <w:t>Of</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concluded cases, the OPML forwards to the Criminal Police Directorate of the Ministry of Interior and/or to State Prosecutor</w:t>
      </w:r>
      <w:r>
        <w:rPr>
          <w:rFonts w:ascii="Calibri" w:eastAsia="Calibri" w:hAnsi="Calibri" w:cs="Times New Roman"/>
          <w:lang w:val="en-GB" w:eastAsia="zh-CN"/>
        </w:rPr>
        <w:t>’</w:t>
      </w:r>
      <w:r w:rsidR="00E76739" w:rsidRPr="00E76739">
        <w:rPr>
          <w:rFonts w:ascii="Calibri" w:eastAsia="Calibri" w:hAnsi="Calibri" w:cs="Times New Roman"/>
          <w:lang w:val="en-GB" w:eastAsia="zh-CN"/>
        </w:rPr>
        <w:t xml:space="preserve">s Office </w:t>
      </w:r>
      <w:r>
        <w:rPr>
          <w:rFonts w:ascii="Calibri" w:eastAsia="Calibri" w:hAnsi="Calibri" w:cs="Times New Roman"/>
          <w:lang w:val="en-GB" w:eastAsia="zh-CN"/>
        </w:rPr>
        <w:t xml:space="preserve">any </w:t>
      </w:r>
      <w:r w:rsidR="00E76739" w:rsidRPr="00E76739">
        <w:rPr>
          <w:rFonts w:ascii="Calibri" w:eastAsia="Calibri" w:hAnsi="Calibri" w:cs="Times New Roman"/>
          <w:lang w:val="en-GB" w:eastAsia="zh-CN"/>
        </w:rPr>
        <w:t xml:space="preserve">cases suspected </w:t>
      </w:r>
      <w:r>
        <w:rPr>
          <w:rFonts w:ascii="Calibri" w:eastAsia="Calibri" w:hAnsi="Calibri" w:cs="Times New Roman"/>
          <w:lang w:val="en-GB" w:eastAsia="zh-CN"/>
        </w:rPr>
        <w:t>of</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be</w:t>
      </w:r>
      <w:r>
        <w:rPr>
          <w:rFonts w:ascii="Calibri" w:eastAsia="Calibri" w:hAnsi="Calibri" w:cs="Times New Roman"/>
          <w:lang w:val="en-GB" w:eastAsia="zh-CN"/>
        </w:rPr>
        <w:t>ing</w:t>
      </w:r>
      <w:r w:rsidR="00E76739" w:rsidRPr="00E76739">
        <w:rPr>
          <w:rFonts w:ascii="Calibri" w:eastAsia="Calibri" w:hAnsi="Calibri" w:cs="Times New Roman"/>
          <w:lang w:val="en-GB" w:eastAsia="zh-CN"/>
        </w:rPr>
        <w:t xml:space="preserve"> connected with the criminal offence of money laundering, together with documentation on the basis of Article 61 of the Slovenian AML/CTF Act. Written information is also sent to the Tax</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Office</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 xml:space="preserve">and to the Criminal Police Directorate of the Ministry of Interior with respect to suspicion </w:t>
      </w:r>
      <w:r w:rsidRPr="00E76739">
        <w:rPr>
          <w:rFonts w:ascii="Calibri" w:eastAsia="Calibri" w:hAnsi="Calibri" w:cs="Times New Roman"/>
          <w:lang w:val="en-GB" w:eastAsia="zh-CN"/>
        </w:rPr>
        <w:t>o</w:t>
      </w:r>
      <w:r>
        <w:rPr>
          <w:rFonts w:ascii="Calibri" w:eastAsia="Calibri" w:hAnsi="Calibri" w:cs="Times New Roman"/>
          <w:lang w:val="en-GB" w:eastAsia="zh-CN"/>
        </w:rPr>
        <w:t>f</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 xml:space="preserve">tax fraud and </w:t>
      </w:r>
      <w:r w:rsidRPr="00E76739">
        <w:rPr>
          <w:rFonts w:ascii="Calibri" w:eastAsia="Calibri" w:hAnsi="Calibri" w:cs="Times New Roman"/>
          <w:lang w:val="en-GB" w:eastAsia="zh-CN"/>
        </w:rPr>
        <w:t>o</w:t>
      </w:r>
      <w:r>
        <w:rPr>
          <w:rFonts w:ascii="Calibri" w:eastAsia="Calibri" w:hAnsi="Calibri" w:cs="Times New Roman"/>
          <w:lang w:val="en-GB" w:eastAsia="zh-CN"/>
        </w:rPr>
        <w:t>f</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 xml:space="preserve">the </w:t>
      </w:r>
      <w:r>
        <w:rPr>
          <w:rFonts w:ascii="Calibri" w:eastAsia="Calibri" w:hAnsi="Calibri" w:cs="Times New Roman"/>
          <w:lang w:val="en-GB" w:eastAsia="zh-CN"/>
        </w:rPr>
        <w:t>‘</w:t>
      </w:r>
      <w:r w:rsidR="00E76739" w:rsidRPr="00E76739">
        <w:rPr>
          <w:rFonts w:ascii="Calibri" w:eastAsia="Calibri" w:hAnsi="Calibri" w:cs="Times New Roman"/>
          <w:lang w:val="en-GB" w:eastAsia="zh-CN"/>
        </w:rPr>
        <w:t xml:space="preserve">abuse of </w:t>
      </w:r>
      <w:r>
        <w:rPr>
          <w:rFonts w:ascii="Calibri" w:eastAsia="Calibri" w:hAnsi="Calibri" w:cs="Times New Roman"/>
          <w:lang w:val="en-GB" w:eastAsia="zh-CN"/>
        </w:rPr>
        <w:t xml:space="preserve">a </w:t>
      </w:r>
      <w:r w:rsidR="00E76739" w:rsidRPr="00E76739">
        <w:rPr>
          <w:rFonts w:ascii="Calibri" w:eastAsia="Calibri" w:hAnsi="Calibri" w:cs="Times New Roman"/>
          <w:lang w:val="en-GB" w:eastAsia="zh-CN"/>
        </w:rPr>
        <w:t xml:space="preserve">position </w:t>
      </w:r>
      <w:r w:rsidRPr="00E76739">
        <w:rPr>
          <w:rFonts w:ascii="Calibri" w:eastAsia="Calibri" w:hAnsi="Calibri" w:cs="Times New Roman"/>
          <w:lang w:val="en-GB" w:eastAsia="zh-CN"/>
        </w:rPr>
        <w:t>o</w:t>
      </w:r>
      <w:r>
        <w:rPr>
          <w:rFonts w:ascii="Calibri" w:eastAsia="Calibri" w:hAnsi="Calibri" w:cs="Times New Roman"/>
          <w:lang w:val="en-GB" w:eastAsia="zh-CN"/>
        </w:rPr>
        <w:t>f</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 xml:space="preserve">trust </w:t>
      </w:r>
      <w:r>
        <w:rPr>
          <w:rFonts w:ascii="Calibri" w:eastAsia="Calibri" w:hAnsi="Calibri" w:cs="Times New Roman"/>
          <w:lang w:val="en-GB" w:eastAsia="zh-CN"/>
        </w:rPr>
        <w:t>in</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performing economic activities</w:t>
      </w:r>
      <w:r>
        <w:rPr>
          <w:rFonts w:ascii="Calibri" w:eastAsia="Calibri" w:hAnsi="Calibri" w:cs="Times New Roman"/>
          <w:lang w:val="en-GB" w:eastAsia="zh-CN"/>
        </w:rPr>
        <w:t>’</w:t>
      </w:r>
      <w:r w:rsidRPr="00E76739">
        <w:rPr>
          <w:rFonts w:ascii="Calibri" w:eastAsia="Calibri" w:hAnsi="Calibri" w:cs="Times New Roman"/>
          <w:lang w:val="en-GB" w:eastAsia="zh-CN"/>
        </w:rPr>
        <w:t xml:space="preserve">. </w:t>
      </w:r>
    </w:p>
    <w:p w14:paraId="6F07F1EF" w14:textId="65FBAF60" w:rsidR="00E76739" w:rsidRPr="00E76739" w:rsidRDefault="00E76739" w:rsidP="00E76739">
      <w:pPr>
        <w:autoSpaceDE w:val="0"/>
        <w:autoSpaceDN w:val="0"/>
        <w:adjustRightInd w:val="0"/>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In 2010 the FIU has mainly cooperated with the Criminal Police Directorate of the Ministry of Interior (Police), with the Special Group of Prosecutors for the Fight Against Organised Crime at the Supreme State Prosecutor</w:t>
      </w:r>
      <w:r w:rsidR="00E35E07">
        <w:rPr>
          <w:rFonts w:ascii="Calibri" w:eastAsia="Calibri" w:hAnsi="Calibri" w:cs="Times New Roman"/>
          <w:lang w:val="en-GB" w:eastAsia="zh-CN"/>
        </w:rPr>
        <w:t>’</w:t>
      </w:r>
      <w:r w:rsidRPr="00E76739">
        <w:rPr>
          <w:rFonts w:ascii="Calibri" w:eastAsia="Calibri" w:hAnsi="Calibri" w:cs="Times New Roman"/>
          <w:lang w:val="en-GB" w:eastAsia="zh-CN"/>
        </w:rPr>
        <w:t>s Office, with the Tax Office, the Customs and with the Slovenian Intelligence and Security Agency.</w:t>
      </w:r>
      <w:r w:rsidRPr="00E76739">
        <w:rPr>
          <w:rFonts w:ascii="Calibri" w:eastAsia="Calibri" w:hAnsi="Calibri" w:cs="Times New Roman"/>
          <w:vertAlign w:val="superscript"/>
          <w:lang w:val="en-GB" w:eastAsia="zh-CN"/>
        </w:rPr>
        <w:footnoteReference w:id="64"/>
      </w:r>
      <w:r w:rsidRPr="00E76739">
        <w:rPr>
          <w:rFonts w:ascii="Calibri" w:eastAsia="Calibri" w:hAnsi="Calibri" w:cs="Times New Roman"/>
          <w:lang w:val="en-GB" w:eastAsia="zh-CN"/>
        </w:rPr>
        <w:t xml:space="preserve"> </w:t>
      </w:r>
      <w:r w:rsidR="00E35E07"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w:t>
      </w:r>
      <w:commentRangeStart w:id="96"/>
      <w:r w:rsidRPr="00E76739">
        <w:rPr>
          <w:rFonts w:ascii="Calibri" w:eastAsia="Calibri" w:hAnsi="Calibri" w:cs="Times New Roman"/>
          <w:lang w:val="en-GB" w:eastAsia="zh-CN"/>
        </w:rPr>
        <w:t>2010</w:t>
      </w:r>
      <w:commentRangeEnd w:id="96"/>
      <w:r w:rsidR="003F3019">
        <w:rPr>
          <w:rStyle w:val="CommentReference"/>
        </w:rPr>
        <w:commentReference w:id="96"/>
      </w:r>
      <w:r w:rsidRPr="00E76739">
        <w:rPr>
          <w:rFonts w:ascii="Calibri" w:eastAsia="Calibri" w:hAnsi="Calibri" w:cs="Times New Roman"/>
          <w:lang w:val="en-GB" w:eastAsia="zh-CN"/>
        </w:rPr>
        <w:t xml:space="preserve">) also mentions that cooperation between the FIU and the </w:t>
      </w:r>
      <w:r w:rsidR="00E35E07">
        <w:rPr>
          <w:rFonts w:ascii="Calibri" w:eastAsia="Calibri" w:hAnsi="Calibri" w:cs="Times New Roman"/>
          <w:lang w:val="en-GB" w:eastAsia="zh-CN"/>
        </w:rPr>
        <w:t>p</w:t>
      </w:r>
      <w:r w:rsidR="00E35E07"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 xml:space="preserve">is very close in AML matters and that, on the basis of a cooperation agreement that the two institutions have signed, they have regular meetings and cooperate on a case-by-case basis. Coordination is arranged especially between the FIU, </w:t>
      </w:r>
      <w:r w:rsidR="00E35E07">
        <w:rPr>
          <w:rFonts w:ascii="Calibri" w:eastAsia="Calibri" w:hAnsi="Calibri" w:cs="Times New Roman"/>
          <w:lang w:val="en-GB" w:eastAsia="zh-CN"/>
        </w:rPr>
        <w:t>p</w:t>
      </w:r>
      <w:r w:rsidR="00E35E07"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and Public</w:t>
      </w:r>
      <w:r w:rsidR="00E35E07"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Prosecution when more significant cases of money laundering are dealt with</w:t>
      </w:r>
      <w:commentRangeStart w:id="97"/>
      <w:commentRangeStart w:id="98"/>
      <w:r w:rsidRPr="00E76739">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65"/>
      </w:r>
      <w:commentRangeEnd w:id="97"/>
      <w:r w:rsidR="00CE667A">
        <w:rPr>
          <w:rStyle w:val="CommentReference"/>
        </w:rPr>
        <w:commentReference w:id="97"/>
      </w:r>
      <w:commentRangeEnd w:id="98"/>
      <w:r w:rsidR="00CE667A">
        <w:rPr>
          <w:rStyle w:val="CommentReference"/>
        </w:rPr>
        <w:commentReference w:id="98"/>
      </w:r>
    </w:p>
    <w:p w14:paraId="1ED94CF2" w14:textId="76013D7E"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The State PPO and other state authorities (Criminal Police, Tax Administration, Customs, Slovenia Intelligence and Security Agency) are obliged by law to forward to the FIU all statistics and data on the information provided by the FIU</w:t>
      </w:r>
      <w:r w:rsidR="00E35E07">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66"/>
      </w:r>
      <w:r w:rsidRPr="00E76739">
        <w:rPr>
          <w:rFonts w:ascii="Calibri" w:eastAsia="Calibri" w:hAnsi="Calibri" w:cs="Times New Roman"/>
          <w:lang w:val="en-GB" w:eastAsia="zh-CN"/>
        </w:rPr>
        <w:t xml:space="preserve"> This is to ensure the centralization and the analysis of criminal data on the offences of money laundering and terrorist financing. The FIU therefore receives annual feedback from the authorities it cooperates with on their findings on the cases forwarded to them by the FIU. Feedback represents </w:t>
      </w:r>
      <w:r w:rsidR="00E35E07">
        <w:rPr>
          <w:rFonts w:ascii="Calibri" w:eastAsia="Calibri" w:hAnsi="Calibri" w:cs="Times New Roman"/>
          <w:lang w:val="en-GB" w:eastAsia="zh-CN"/>
        </w:rPr>
        <w:t>an</w:t>
      </w:r>
      <w:r w:rsidR="00E35E07"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important parameter of efficiency </w:t>
      </w:r>
      <w:r w:rsidR="00E35E07">
        <w:rPr>
          <w:rFonts w:ascii="Calibri" w:eastAsia="Calibri" w:hAnsi="Calibri" w:cs="Times New Roman"/>
          <w:lang w:val="en-GB" w:eastAsia="zh-CN"/>
        </w:rPr>
        <w:t xml:space="preserve">on the part </w:t>
      </w:r>
      <w:r w:rsidRPr="00E76739">
        <w:rPr>
          <w:rFonts w:ascii="Calibri" w:eastAsia="Calibri" w:hAnsi="Calibri" w:cs="Times New Roman"/>
          <w:lang w:val="en-GB" w:eastAsia="zh-CN"/>
        </w:rPr>
        <w:t xml:space="preserve">of the OMLP and </w:t>
      </w:r>
      <w:r w:rsidR="00E35E07">
        <w:rPr>
          <w:rFonts w:ascii="Calibri" w:eastAsia="Calibri" w:hAnsi="Calibri" w:cs="Times New Roman"/>
          <w:lang w:val="en-GB" w:eastAsia="zh-CN"/>
        </w:rPr>
        <w:t>the p</w:t>
      </w:r>
      <w:r w:rsidR="00E35E07" w:rsidRPr="00E76739">
        <w:rPr>
          <w:rFonts w:ascii="Calibri" w:eastAsia="Calibri" w:hAnsi="Calibri" w:cs="Times New Roman"/>
          <w:lang w:val="en-GB" w:eastAsia="zh-CN"/>
        </w:rPr>
        <w:t>olice</w:t>
      </w:r>
      <w:r w:rsidRPr="00E76739">
        <w:rPr>
          <w:rFonts w:ascii="Calibri" w:eastAsia="Calibri" w:hAnsi="Calibri" w:cs="Times New Roman"/>
          <w:lang w:val="en-GB" w:eastAsia="zh-CN"/>
        </w:rPr>
        <w:t xml:space="preserve">. For instance, on the basis of the feedback received from the Tax Office, the OPML can conclude that it has </w:t>
      </w:r>
      <w:r w:rsidR="00E35E07">
        <w:rPr>
          <w:rFonts w:ascii="Calibri" w:eastAsia="Calibri" w:hAnsi="Calibri" w:cs="Times New Roman"/>
          <w:lang w:val="en-GB" w:eastAsia="zh-CN"/>
        </w:rPr>
        <w:t>also</w:t>
      </w:r>
      <w:r w:rsidR="00E35E07"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played an important role in the field of detection of criminal offences of tax evasion, especially of VAT evasion. </w:t>
      </w:r>
      <w:r w:rsidRPr="00E76739">
        <w:rPr>
          <w:rFonts w:ascii="Calibri" w:eastAsia="Calibri" w:hAnsi="Calibri" w:cs="Times New Roman"/>
          <w:vertAlign w:val="superscript"/>
          <w:lang w:val="en-GB" w:eastAsia="zh-CN"/>
        </w:rPr>
        <w:footnoteReference w:id="67"/>
      </w:r>
    </w:p>
    <w:p w14:paraId="1169A1C7" w14:textId="3855D691"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Prior to 2007, the </w:t>
      </w:r>
      <w:r w:rsidR="00E35E07">
        <w:rPr>
          <w:rFonts w:ascii="Calibri" w:eastAsia="Calibri" w:hAnsi="Calibri" w:cs="Times New Roman"/>
          <w:lang w:val="en-GB" w:eastAsia="zh-CN"/>
        </w:rPr>
        <w:t>p</w:t>
      </w:r>
      <w:r w:rsidR="00E35E07"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provided the OPML with feedback informally on the basis of the agreement.</w:t>
      </w:r>
      <w:r w:rsidR="00E35E07">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After 2007 this obligation was formally stipulated by the new AML/CTF Act. In addition, the prosecutors and the courts </w:t>
      </w:r>
      <w:r w:rsidR="00E35E07" w:rsidRPr="00E35E07">
        <w:rPr>
          <w:rFonts w:ascii="Calibri" w:eastAsia="Calibri" w:hAnsi="Calibri" w:cs="Times New Roman"/>
          <w:lang w:val="en-GB" w:eastAsia="zh-CN"/>
        </w:rPr>
        <w:t xml:space="preserve">twice a year </w:t>
      </w:r>
      <w:r w:rsidRPr="00E76739">
        <w:rPr>
          <w:rFonts w:ascii="Calibri" w:eastAsia="Calibri" w:hAnsi="Calibri" w:cs="Times New Roman"/>
          <w:lang w:val="en-GB" w:eastAsia="zh-CN"/>
        </w:rPr>
        <w:t>forward statistics on the details of the natural and legal persons that have been investigated/tried and convicted, the nature of the criminal offence, and the amounts that have been forfeited or confiscated</w:t>
      </w:r>
      <w:commentRangeStart w:id="99"/>
      <w:r w:rsidRPr="00E76739">
        <w:rPr>
          <w:rFonts w:ascii="Calibri" w:eastAsia="Calibri" w:hAnsi="Calibri" w:cs="Times New Roman"/>
          <w:lang w:val="en-GB" w:eastAsia="zh-CN"/>
        </w:rPr>
        <w:t>.</w:t>
      </w:r>
      <w:r w:rsidRPr="00E76739">
        <w:rPr>
          <w:rFonts w:ascii="Calibri" w:eastAsia="Calibri" w:hAnsi="Calibri" w:cs="Times New Roman"/>
          <w:vertAlign w:val="superscript"/>
          <w:lang w:val="en-GB" w:eastAsia="zh-CN"/>
        </w:rPr>
        <w:footnoteReference w:id="68"/>
      </w:r>
      <w:commentRangeEnd w:id="99"/>
      <w:r w:rsidR="00CE667A">
        <w:rPr>
          <w:rStyle w:val="CommentReference"/>
        </w:rPr>
        <w:commentReference w:id="99"/>
      </w:r>
    </w:p>
    <w:p w14:paraId="1C701C2C" w14:textId="77777777" w:rsidR="00E76739" w:rsidRPr="00E76739" w:rsidRDefault="00E76739" w:rsidP="00E76739">
      <w:pPr>
        <w:spacing w:after="0" w:line="240" w:lineRule="auto"/>
        <w:rPr>
          <w:rFonts w:ascii="Calibri" w:eastAsia="SimSun" w:hAnsi="Calibri" w:cs="Times New Roman"/>
          <w:b/>
          <w:lang w:val="en-GB" w:eastAsia="zh-CN"/>
        </w:rPr>
      </w:pPr>
      <w:r w:rsidRPr="00E76739">
        <w:rPr>
          <w:rFonts w:ascii="Calibri" w:eastAsia="SimSun" w:hAnsi="Calibri" w:cs="Times New Roman"/>
          <w:b/>
          <w:lang w:val="en-GB" w:eastAsia="zh-CN"/>
        </w:rPr>
        <w:br w:type="page"/>
      </w:r>
    </w:p>
    <w:p w14:paraId="13F58566" w14:textId="501552F7" w:rsidR="00E76739" w:rsidRPr="00E76739" w:rsidRDefault="00BA07A1" w:rsidP="00E76739">
      <w:pPr>
        <w:spacing w:after="0" w:line="240" w:lineRule="auto"/>
        <w:jc w:val="center"/>
        <w:rPr>
          <w:rFonts w:ascii="Calibri" w:eastAsia="SimSun" w:hAnsi="Calibri" w:cs="Times New Roman"/>
          <w:b/>
          <w:lang w:val="en-GB" w:eastAsia="zh-CN"/>
        </w:rPr>
      </w:pPr>
      <w:bookmarkStart w:id="100" w:name="_Toc350517114"/>
      <w:r>
        <w:rPr>
          <w:rFonts w:ascii="Calibri" w:eastAsia="SimSun" w:hAnsi="Calibri" w:cs="Times New Roman"/>
          <w:b/>
          <w:lang w:val="en-GB" w:eastAsia="zh-CN"/>
        </w:rPr>
        <w:t>Figure 8</w:t>
      </w:r>
      <w:r w:rsidR="00E76739" w:rsidRPr="00E76739">
        <w:rPr>
          <w:rFonts w:ascii="Calibri" w:eastAsia="SimSun" w:hAnsi="Calibri" w:cs="Times New Roman"/>
          <w:b/>
          <w:lang w:val="en-GB" w:eastAsia="zh-CN"/>
        </w:rPr>
        <w:t>.</w:t>
      </w:r>
      <w:r w:rsidR="00420F8F" w:rsidRPr="00E76739">
        <w:rPr>
          <w:rFonts w:ascii="Calibri" w:eastAsia="SimSun" w:hAnsi="Calibri" w:cs="Times New Roman"/>
          <w:b/>
          <w:lang w:val="en-GB" w:eastAsia="zh-CN"/>
        </w:rPr>
        <w:t>2</w:t>
      </w:r>
      <w:r w:rsidR="00420F8F">
        <w:rPr>
          <w:rFonts w:ascii="Calibri" w:eastAsia="SimSun" w:hAnsi="Calibri" w:cs="Times New Roman"/>
          <w:b/>
          <w:lang w:val="en-GB" w:eastAsia="zh-CN"/>
        </w:rPr>
        <w:t>7</w:t>
      </w:r>
      <w:r w:rsidR="00E76739" w:rsidRPr="00E76739">
        <w:rPr>
          <w:rFonts w:ascii="Calibri" w:eastAsia="SimSun" w:hAnsi="Calibri" w:cs="Times New Roman"/>
          <w:b/>
          <w:lang w:val="en-GB" w:eastAsia="zh-CN"/>
        </w:rPr>
        <w:t>: AML/CTF information flows in Slovenia</w:t>
      </w:r>
      <w:bookmarkEnd w:id="100"/>
    </w:p>
    <w:p w14:paraId="4D0B637C"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48F4662F" w14:textId="77777777" w:rsidR="00E76739" w:rsidRPr="00E76739" w:rsidRDefault="00E76739" w:rsidP="00E76739">
      <w:pPr>
        <w:spacing w:after="0" w:line="240" w:lineRule="auto"/>
        <w:jc w:val="both"/>
        <w:rPr>
          <w:rFonts w:ascii="Calibri" w:eastAsia="SimSun" w:hAnsi="Calibri" w:cs="Times New Roman"/>
          <w:b/>
          <w:lang w:val="en-GB" w:eastAsia="zh-CN"/>
        </w:rPr>
      </w:pPr>
    </w:p>
    <w:p w14:paraId="6301069E" w14:textId="77777777" w:rsidR="00E76739" w:rsidRPr="00E76739" w:rsidRDefault="00E76739" w:rsidP="00E76739">
      <w:pPr>
        <w:spacing w:after="0" w:line="240" w:lineRule="auto"/>
        <w:jc w:val="both"/>
        <w:rPr>
          <w:rFonts w:ascii="Calibri" w:eastAsia="Calibri" w:hAnsi="Calibri" w:cs="Times New Roman"/>
          <w:b/>
          <w:bCs/>
          <w:lang w:val="en-GB" w:eastAsia="zh-CN"/>
        </w:rPr>
      </w:pPr>
      <w:r w:rsidRPr="00E76739">
        <w:rPr>
          <w:rFonts w:ascii="Calibri" w:eastAsia="Calibri" w:hAnsi="Calibri" w:cs="Times New Roman"/>
          <w:b/>
          <w:noProof/>
          <w:lang w:val="en-US" w:eastAsia="en-US"/>
        </w:rPr>
        <w:drawing>
          <wp:inline distT="0" distB="0" distL="0" distR="0" wp14:anchorId="0E03BD3E" wp14:editId="407FAC3F">
            <wp:extent cx="5924550" cy="3657600"/>
            <wp:effectExtent l="0" t="0" r="0" b="0"/>
            <wp:docPr id="40" name="Afbeelding 43" descr="SloveniaInformationFlow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oveniaInformationFlows.jpeg"/>
                    <pic:cNvPicPr>
                      <a:picLocks noChangeAspect="1" noChangeArrowheads="1"/>
                    </pic:cNvPicPr>
                  </pic:nvPicPr>
                  <pic:blipFill>
                    <a:blip r:embed="rId27" cstate="print">
                      <a:extLst>
                        <a:ext uri="{28A0092B-C50C-407E-A947-70E740481C1C}">
                          <a14:useLocalDpi xmlns:a14="http://schemas.microsoft.com/office/drawing/2010/main" val="0"/>
                        </a:ext>
                      </a:extLst>
                    </a:blip>
                    <a:srcRect l="5128" t="9959" r="9937" b="22408"/>
                    <a:stretch>
                      <a:fillRect/>
                    </a:stretch>
                  </pic:blipFill>
                  <pic:spPr bwMode="auto">
                    <a:xfrm>
                      <a:off x="0" y="0"/>
                      <a:ext cx="5924550" cy="3657600"/>
                    </a:xfrm>
                    <a:prstGeom prst="rect">
                      <a:avLst/>
                    </a:prstGeom>
                    <a:noFill/>
                    <a:ln>
                      <a:noFill/>
                    </a:ln>
                  </pic:spPr>
                </pic:pic>
              </a:graphicData>
            </a:graphic>
          </wp:inline>
        </w:drawing>
      </w:r>
    </w:p>
    <w:p w14:paraId="3967CAAB" w14:textId="2EA045DC" w:rsidR="00E76739" w:rsidRPr="00E76739" w:rsidRDefault="00E76739" w:rsidP="00E76739">
      <w:pPr>
        <w:spacing w:after="240" w:line="240" w:lineRule="auto"/>
        <w:jc w:val="both"/>
        <w:rPr>
          <w:rFonts w:ascii="Calibri" w:eastAsia="Calibri" w:hAnsi="Calibri" w:cs="Times New Roman"/>
          <w:i/>
          <w:sz w:val="20"/>
          <w:szCs w:val="20"/>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ED5B42">
        <w:rPr>
          <w:rFonts w:ascii="Calibri" w:eastAsia="Calibri" w:hAnsi="Calibri" w:cs="Times New Roman"/>
          <w:i/>
          <w:sz w:val="20"/>
          <w:szCs w:val="20"/>
          <w:lang w:val="en-GB" w:eastAsia="zh-CN"/>
        </w:rPr>
        <w:t>both</w:t>
      </w:r>
      <w:r w:rsidR="00ED5B42"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ED5B42" w:rsidRPr="00E76739">
        <w:rPr>
          <w:rFonts w:ascii="Calibri" w:eastAsia="Calibri" w:hAnsi="Calibri" w:cs="Times New Roman"/>
          <w:i/>
          <w:sz w:val="20"/>
          <w:szCs w:val="20"/>
          <w:lang w:val="en-GB" w:eastAsia="zh-CN"/>
        </w:rPr>
        <w:t>speciali</w:t>
      </w:r>
      <w:r w:rsidR="00ED5B42">
        <w:rPr>
          <w:rFonts w:ascii="Calibri" w:eastAsia="Calibri" w:hAnsi="Calibri" w:cs="Times New Roman"/>
          <w:i/>
          <w:sz w:val="20"/>
          <w:szCs w:val="20"/>
          <w:lang w:val="en-GB" w:eastAsia="zh-CN"/>
        </w:rPr>
        <w:t>z</w:t>
      </w:r>
      <w:r w:rsidR="00ED5B42"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in dealing with ML/TF cases.</w:t>
      </w:r>
    </w:p>
    <w:p w14:paraId="5DD6D1D8" w14:textId="55A4D965" w:rsidR="00E76739" w:rsidRPr="00E76739" w:rsidRDefault="00E76739" w:rsidP="00E76739">
      <w:pPr>
        <w:autoSpaceDE w:val="0"/>
        <w:autoSpaceDN w:val="0"/>
        <w:adjustRightInd w:val="0"/>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Slovenian criminal procedure developed from the so-called mixed (inquisitorial-accusatorial) criminal procedure systems. According to </w:t>
      </w:r>
      <w:r w:rsidR="009C2885"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w:t>
      </w:r>
      <w:r w:rsidR="00FE7980" w:rsidRPr="00E76739">
        <w:rPr>
          <w:rFonts w:ascii="Calibri" w:eastAsia="Calibri" w:hAnsi="Calibri" w:cs="Times New Roman"/>
          <w:lang w:val="en-GB" w:eastAsia="zh-CN"/>
        </w:rPr>
        <w:t>201</w:t>
      </w:r>
      <w:r w:rsidR="00FE7980">
        <w:rPr>
          <w:rFonts w:ascii="Calibri" w:eastAsia="Calibri" w:hAnsi="Calibri" w:cs="Times New Roman"/>
          <w:lang w:val="en-GB" w:eastAsia="zh-CN"/>
        </w:rPr>
        <w:t>1b</w:t>
      </w:r>
      <w:r w:rsidRPr="00E76739">
        <w:rPr>
          <w:rFonts w:ascii="Calibri" w:eastAsia="Calibri" w:hAnsi="Calibri" w:cs="Times New Roman"/>
          <w:lang w:val="en-GB" w:eastAsia="zh-CN"/>
        </w:rPr>
        <w:t>)</w:t>
      </w:r>
      <w:r w:rsidR="00C821A1">
        <w:rPr>
          <w:rFonts w:ascii="Calibri" w:eastAsia="Calibri" w:hAnsi="Calibri" w:cs="Times New Roman"/>
          <w:lang w:val="en-GB" w:eastAsia="zh-CN"/>
        </w:rPr>
        <w:t>,</w:t>
      </w:r>
      <w:r w:rsidRPr="00E76739">
        <w:rPr>
          <w:rFonts w:ascii="Calibri" w:eastAsia="Calibri" w:hAnsi="Calibri" w:cs="Times New Roman"/>
          <w:lang w:val="en-GB" w:eastAsia="zh-CN"/>
        </w:rPr>
        <w:t xml:space="preserve"> the Slovenian Criminal Procedure Act was adopted by the National Assembly in September 1994 and has already been amended nine times since then, mostly in the adversarial direction.</w:t>
      </w:r>
      <w:r w:rsidRPr="00E76739">
        <w:rPr>
          <w:rFonts w:ascii="Calibri" w:eastAsia="Calibri" w:hAnsi="Calibri" w:cs="Times New Roman"/>
          <w:vertAlign w:val="superscript"/>
          <w:lang w:val="en-GB" w:eastAsia="zh-CN"/>
        </w:rPr>
        <w:footnoteReference w:id="69"/>
      </w:r>
    </w:p>
    <w:p w14:paraId="153D2F80" w14:textId="2884BBD9" w:rsidR="00E76739" w:rsidRPr="00E76739" w:rsidRDefault="00E76739" w:rsidP="00E76739">
      <w:pPr>
        <w:autoSpaceDE w:val="0"/>
        <w:autoSpaceDN w:val="0"/>
        <w:adjustRightInd w:val="0"/>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According to the Criminal Procedure Act, the </w:t>
      </w:r>
      <w:r w:rsidR="00C821A1">
        <w:rPr>
          <w:rFonts w:ascii="Calibri" w:eastAsia="Calibri" w:hAnsi="Calibri" w:cs="Times New Roman"/>
          <w:lang w:val="en-GB" w:eastAsia="zh-CN"/>
        </w:rPr>
        <w:t>p</w:t>
      </w:r>
      <w:r w:rsidR="00C821A1" w:rsidRPr="00E76739">
        <w:rPr>
          <w:rFonts w:ascii="Calibri" w:eastAsia="Calibri" w:hAnsi="Calibri" w:cs="Times New Roman"/>
          <w:lang w:val="en-GB" w:eastAsia="zh-CN"/>
        </w:rPr>
        <w:t xml:space="preserve">olice </w:t>
      </w:r>
      <w:r w:rsidRPr="00E76739">
        <w:rPr>
          <w:rFonts w:ascii="Calibri" w:eastAsia="Calibri" w:hAnsi="Calibri" w:cs="Times New Roman"/>
          <w:lang w:val="en-GB" w:eastAsia="zh-CN"/>
        </w:rPr>
        <w:t>are the competent authority for the detection of criminal offences (including money laundering), and the State Prosecutor</w:t>
      </w:r>
      <w:r w:rsidR="00C821A1">
        <w:rPr>
          <w:rFonts w:ascii="Calibri" w:eastAsia="Calibri" w:hAnsi="Calibri" w:cs="Times New Roman"/>
          <w:lang w:val="en-GB" w:eastAsia="zh-CN"/>
        </w:rPr>
        <w:t>’</w:t>
      </w:r>
      <w:r w:rsidRPr="00E76739">
        <w:rPr>
          <w:rFonts w:ascii="Calibri" w:eastAsia="Calibri" w:hAnsi="Calibri" w:cs="Times New Roman"/>
          <w:lang w:val="en-GB" w:eastAsia="zh-CN"/>
        </w:rPr>
        <w:t xml:space="preserve">s Office is competent </w:t>
      </w:r>
      <w:r w:rsidR="00C821A1">
        <w:rPr>
          <w:rFonts w:ascii="Calibri" w:eastAsia="Calibri" w:hAnsi="Calibri" w:cs="Times New Roman"/>
          <w:lang w:val="en-GB" w:eastAsia="zh-CN"/>
        </w:rPr>
        <w:t>in</w:t>
      </w:r>
      <w:r w:rsidR="00C821A1" w:rsidRPr="00E76739">
        <w:rPr>
          <w:rFonts w:ascii="Calibri" w:eastAsia="Calibri" w:hAnsi="Calibri" w:cs="Times New Roman"/>
          <w:lang w:val="en-GB" w:eastAsia="zh-CN"/>
        </w:rPr>
        <w:t xml:space="preserve"> </w:t>
      </w:r>
      <w:r w:rsidR="00C821A1">
        <w:rPr>
          <w:rFonts w:ascii="Calibri" w:eastAsia="Calibri" w:hAnsi="Calibri" w:cs="Times New Roman"/>
          <w:lang w:val="en-GB" w:eastAsia="zh-CN"/>
        </w:rPr>
        <w:t xml:space="preserve">the </w:t>
      </w:r>
      <w:r w:rsidRPr="00E76739">
        <w:rPr>
          <w:rFonts w:ascii="Calibri" w:eastAsia="Calibri" w:hAnsi="Calibri" w:cs="Times New Roman"/>
          <w:lang w:val="en-GB" w:eastAsia="zh-CN"/>
        </w:rPr>
        <w:t xml:space="preserve">prosecution of criminal offences. The Criminal Procedures Act allows for the State Prosecutor, in serious cases of economic crime, </w:t>
      </w:r>
      <w:r w:rsidR="00C821A1" w:rsidRPr="00E76739">
        <w:rPr>
          <w:rFonts w:ascii="Calibri" w:eastAsia="Calibri" w:hAnsi="Calibri" w:cs="Times New Roman"/>
          <w:lang w:val="en-GB" w:eastAsia="zh-CN"/>
        </w:rPr>
        <w:t>organi</w:t>
      </w:r>
      <w:r w:rsidR="00C821A1">
        <w:rPr>
          <w:rFonts w:ascii="Calibri" w:eastAsia="Calibri" w:hAnsi="Calibri" w:cs="Times New Roman"/>
          <w:lang w:val="en-GB" w:eastAsia="zh-CN"/>
        </w:rPr>
        <w:t>z</w:t>
      </w:r>
      <w:r w:rsidR="00C821A1"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 xml:space="preserve">crime and corruption, to establish a special investigative group with other competent institutions from the field of customs, taxes, financial activities, securities, protection of competition, prevention of money laundering, prevention of corruption and illegal drug trafficking. This is mainly to ensure the rapid identification of the criminal offence and </w:t>
      </w:r>
      <w:r w:rsidR="00C821A1">
        <w:rPr>
          <w:rFonts w:ascii="Calibri" w:eastAsia="Calibri" w:hAnsi="Calibri" w:cs="Times New Roman"/>
          <w:lang w:val="en-GB" w:eastAsia="zh-CN"/>
        </w:rPr>
        <w:t xml:space="preserve">the </w:t>
      </w:r>
      <w:r w:rsidRPr="00E76739">
        <w:rPr>
          <w:rFonts w:ascii="Calibri" w:eastAsia="Calibri" w:hAnsi="Calibri" w:cs="Times New Roman"/>
          <w:lang w:val="en-GB" w:eastAsia="zh-CN"/>
        </w:rPr>
        <w:t>perpetrator and to support the work of the prosecution.</w:t>
      </w:r>
      <w:r w:rsidRPr="00E76739">
        <w:rPr>
          <w:rFonts w:ascii="Calibri" w:eastAsia="Calibri" w:hAnsi="Calibri" w:cs="Times New Roman"/>
          <w:vertAlign w:val="superscript"/>
          <w:lang w:val="en-GB" w:eastAsia="zh-CN"/>
        </w:rPr>
        <w:footnoteReference w:id="70"/>
      </w:r>
    </w:p>
    <w:p w14:paraId="675407C8" w14:textId="1F735A8B" w:rsidR="00E76739" w:rsidRPr="00E76739" w:rsidRDefault="00E76739" w:rsidP="00E76739">
      <w:pPr>
        <w:autoSpaceDE w:val="0"/>
        <w:autoSpaceDN w:val="0"/>
        <w:adjustRightInd w:val="0"/>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According to </w:t>
      </w:r>
      <w:r w:rsidR="00C821A1"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w:t>
      </w:r>
      <w:r w:rsidR="00475A60" w:rsidRPr="00E76739">
        <w:rPr>
          <w:rFonts w:ascii="Calibri" w:eastAsia="Calibri" w:hAnsi="Calibri" w:cs="Times New Roman"/>
          <w:lang w:val="en-GB" w:eastAsia="zh-CN"/>
        </w:rPr>
        <w:t>201</w:t>
      </w:r>
      <w:r w:rsidR="00475A60">
        <w:rPr>
          <w:rFonts w:ascii="Calibri" w:eastAsia="Calibri" w:hAnsi="Calibri" w:cs="Times New Roman"/>
          <w:lang w:val="en-GB" w:eastAsia="zh-CN"/>
        </w:rPr>
        <w:t>1b</w:t>
      </w:r>
      <w:r w:rsidRPr="00E76739">
        <w:rPr>
          <w:rFonts w:ascii="Calibri" w:eastAsia="Calibri" w:hAnsi="Calibri" w:cs="Times New Roman"/>
          <w:lang w:val="en-GB" w:eastAsia="zh-CN"/>
        </w:rPr>
        <w:t>), an Economic</w:t>
      </w:r>
      <w:r w:rsidR="006D650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Crime</w:t>
      </w:r>
      <w:r w:rsidR="006D650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Section</w:t>
      </w:r>
      <w:r w:rsidR="006D650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has been created under the </w:t>
      </w:r>
      <w:r w:rsidR="006D6504">
        <w:rPr>
          <w:rFonts w:ascii="Calibri" w:eastAsia="Calibri" w:hAnsi="Calibri" w:cs="Times New Roman"/>
          <w:lang w:val="en-GB" w:eastAsia="zh-CN"/>
        </w:rPr>
        <w:t xml:space="preserve">supervision of the </w:t>
      </w:r>
      <w:r w:rsidRPr="00E76739">
        <w:rPr>
          <w:rFonts w:ascii="Calibri" w:eastAsia="Calibri" w:hAnsi="Calibri" w:cs="Times New Roman"/>
          <w:lang w:val="en-GB" w:eastAsia="zh-CN"/>
        </w:rPr>
        <w:t xml:space="preserve">General Police Directorate, within the Criminal Investigation Police. This section includes the Financial Crime and Money Laundering Division, which is primarily responsible for conducting preliminary investigations in money laundering cases as well as in other economic crimes. Within the General Police Directorate an officer coordinates the investigations of money laundering cases of various Police units at a national and regional level. This officer is placed in the Division for Financial Crime and Money Laundering and cooperates directly with the FIU. Two more officers are appointed at each regional police directorate to conduct all financial investigations. The coordinator at the General Police Directorate receives all the notifications of suspicions of money laundering from the FIU. Moreover, on </w:t>
      </w:r>
      <w:r w:rsidR="006D6504">
        <w:rPr>
          <w:rFonts w:ascii="Calibri" w:eastAsia="Calibri" w:hAnsi="Calibri" w:cs="Times New Roman"/>
          <w:lang w:val="en-GB" w:eastAsia="zh-CN"/>
        </w:rPr>
        <w:t xml:space="preserve">1 </w:t>
      </w:r>
      <w:r w:rsidRPr="00E76739">
        <w:rPr>
          <w:rFonts w:ascii="Calibri" w:eastAsia="Calibri" w:hAnsi="Calibri" w:cs="Times New Roman"/>
          <w:lang w:val="en-GB" w:eastAsia="zh-CN"/>
        </w:rPr>
        <w:t>January 2009 the Serious Economic Crime Section was launched within the Police Criminal Directorate. The section has national competence for investigating serious crimes in the field of economic crime, corruption and money laundering.</w:t>
      </w:r>
      <w:r w:rsidRPr="00E76739">
        <w:rPr>
          <w:rFonts w:ascii="Calibri" w:eastAsia="Calibri" w:hAnsi="Calibri" w:cs="Times New Roman"/>
          <w:vertAlign w:val="superscript"/>
          <w:lang w:val="en-GB" w:eastAsia="zh-CN"/>
        </w:rPr>
        <w:footnoteReference w:id="71"/>
      </w:r>
    </w:p>
    <w:p w14:paraId="1DBB6C09" w14:textId="276544EA" w:rsidR="00E76739" w:rsidRPr="00E76739" w:rsidRDefault="00E76739" w:rsidP="00E76739">
      <w:pPr>
        <w:autoSpaceDE w:val="0"/>
        <w:autoSpaceDN w:val="0"/>
        <w:adjustRightInd w:val="0"/>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On the issue of the financing of terrorism, there is a Counter Terrorism and Extreme Violence Division within the </w:t>
      </w:r>
      <w:r w:rsidR="006D6504" w:rsidRPr="00E76739">
        <w:rPr>
          <w:rFonts w:ascii="Calibri" w:eastAsia="Calibri" w:hAnsi="Calibri" w:cs="Times New Roman"/>
          <w:lang w:val="en-GB" w:eastAsia="zh-CN"/>
        </w:rPr>
        <w:t>Organi</w:t>
      </w:r>
      <w:r w:rsidR="006D6504">
        <w:rPr>
          <w:rFonts w:ascii="Calibri" w:eastAsia="Calibri" w:hAnsi="Calibri" w:cs="Times New Roman"/>
          <w:lang w:val="en-GB" w:eastAsia="zh-CN"/>
        </w:rPr>
        <w:t>z</w:t>
      </w:r>
      <w:r w:rsidR="006D6504"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Crime Section of the General Criminal Police Directorate that has national competence in the prevention, detection and investigation of terrorist criminal offences (including terrorist financing).</w:t>
      </w:r>
      <w:r w:rsidRPr="00E76739">
        <w:rPr>
          <w:rFonts w:ascii="Calibri" w:eastAsia="Calibri" w:hAnsi="Calibri" w:cs="Times New Roman"/>
          <w:vertAlign w:val="superscript"/>
          <w:lang w:val="en-GB" w:eastAsia="zh-CN"/>
        </w:rPr>
        <w:footnoteReference w:id="72"/>
      </w:r>
    </w:p>
    <w:p w14:paraId="3A2C49B8" w14:textId="057C25C1" w:rsidR="00E76739" w:rsidRPr="00E76739" w:rsidRDefault="00E76739" w:rsidP="00E76739">
      <w:pPr>
        <w:autoSpaceDE w:val="0"/>
        <w:autoSpaceDN w:val="0"/>
        <w:adjustRightInd w:val="0"/>
        <w:spacing w:after="240" w:line="240" w:lineRule="auto"/>
        <w:jc w:val="both"/>
        <w:rPr>
          <w:rFonts w:ascii="Calibri" w:eastAsia="Calibri" w:hAnsi="Calibri" w:cs="Times New Roman"/>
          <w:lang w:val="en-GB" w:eastAsia="zh-CN"/>
        </w:rPr>
      </w:pPr>
      <w:r w:rsidRPr="00E76739">
        <w:rPr>
          <w:rFonts w:ascii="Calibri" w:eastAsia="Calibri" w:hAnsi="Calibri" w:cs="Times New Roman"/>
          <w:iCs/>
          <w:lang w:val="en-GB" w:eastAsia="zh-CN"/>
        </w:rPr>
        <w:t xml:space="preserve">State </w:t>
      </w:r>
      <w:r w:rsidR="006D6504">
        <w:rPr>
          <w:rFonts w:ascii="Calibri" w:eastAsia="Calibri" w:hAnsi="Calibri" w:cs="Times New Roman"/>
          <w:iCs/>
          <w:lang w:val="en-GB" w:eastAsia="zh-CN"/>
        </w:rPr>
        <w:t>p</w:t>
      </w:r>
      <w:r w:rsidR="006D6504" w:rsidRPr="00E76739">
        <w:rPr>
          <w:rFonts w:ascii="Calibri" w:eastAsia="Calibri" w:hAnsi="Calibri" w:cs="Times New Roman"/>
          <w:iCs/>
          <w:lang w:val="en-GB" w:eastAsia="zh-CN"/>
        </w:rPr>
        <w:t>rosecutors</w:t>
      </w:r>
      <w:r w:rsidRPr="00E76739">
        <w:rPr>
          <w:rFonts w:ascii="Calibri" w:eastAsia="Calibri" w:hAnsi="Calibri" w:cs="Times New Roman"/>
          <w:iCs/>
          <w:lang w:val="en-GB" w:eastAsia="zh-CN"/>
        </w:rPr>
        <w:t xml:space="preserve">/investigating judges: </w:t>
      </w:r>
      <w:r w:rsidRPr="00E76739">
        <w:rPr>
          <w:rFonts w:ascii="Calibri" w:eastAsia="Calibri" w:hAnsi="Calibri" w:cs="Times New Roman"/>
          <w:lang w:val="en-GB" w:eastAsia="zh-CN"/>
        </w:rPr>
        <w:t xml:space="preserve">The </w:t>
      </w:r>
      <w:r w:rsidR="006D6504">
        <w:rPr>
          <w:rFonts w:ascii="Calibri" w:eastAsia="Calibri" w:hAnsi="Calibri" w:cs="Times New Roman"/>
          <w:lang w:val="en-GB" w:eastAsia="zh-CN"/>
        </w:rPr>
        <w:t>s</w:t>
      </w:r>
      <w:r w:rsidR="006D6504" w:rsidRPr="00E76739">
        <w:rPr>
          <w:rFonts w:ascii="Calibri" w:eastAsia="Calibri" w:hAnsi="Calibri" w:cs="Times New Roman"/>
          <w:lang w:val="en-GB" w:eastAsia="zh-CN"/>
        </w:rPr>
        <w:t xml:space="preserve">tate </w:t>
      </w:r>
      <w:r w:rsidR="006D6504">
        <w:rPr>
          <w:rFonts w:ascii="Calibri" w:eastAsia="Calibri" w:hAnsi="Calibri" w:cs="Times New Roman"/>
          <w:lang w:val="en-GB" w:eastAsia="zh-CN"/>
        </w:rPr>
        <w:t>p</w:t>
      </w:r>
      <w:r w:rsidR="006D6504" w:rsidRPr="00E76739">
        <w:rPr>
          <w:rFonts w:ascii="Calibri" w:eastAsia="Calibri" w:hAnsi="Calibri" w:cs="Times New Roman"/>
          <w:lang w:val="en-GB" w:eastAsia="zh-CN"/>
        </w:rPr>
        <w:t xml:space="preserve">rosecutors </w:t>
      </w:r>
      <w:r w:rsidRPr="00E76739">
        <w:rPr>
          <w:rFonts w:ascii="Calibri" w:eastAsia="Calibri" w:hAnsi="Calibri" w:cs="Times New Roman"/>
          <w:lang w:val="en-GB" w:eastAsia="zh-CN"/>
        </w:rPr>
        <w:t xml:space="preserve">are competent </w:t>
      </w:r>
      <w:r w:rsidR="006D6504">
        <w:rPr>
          <w:rFonts w:ascii="Calibri" w:eastAsia="Calibri" w:hAnsi="Calibri" w:cs="Times New Roman"/>
          <w:lang w:val="en-GB" w:eastAsia="zh-CN"/>
        </w:rPr>
        <w:t>in</w:t>
      </w:r>
      <w:r w:rsidR="006D650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the prosecution of perpetrators and also have the authority to file a ‘motion for conducting the investigation’ </w:t>
      </w:r>
      <w:r w:rsidR="006D6504">
        <w:rPr>
          <w:rFonts w:ascii="Calibri" w:eastAsia="Calibri" w:hAnsi="Calibri" w:cs="Times New Roman"/>
          <w:lang w:val="en-GB" w:eastAsia="zh-CN"/>
        </w:rPr>
        <w:t>with</w:t>
      </w:r>
      <w:r w:rsidR="006D6504"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the investigating judge.</w:t>
      </w:r>
      <w:r w:rsidR="006D6504">
        <w:rPr>
          <w:rFonts w:ascii="Calibri" w:eastAsia="Calibri" w:hAnsi="Calibri" w:cs="Times New Roman"/>
          <w:lang w:val="en-GB" w:eastAsia="zh-CN"/>
        </w:rPr>
        <w:t xml:space="preserve"> </w:t>
      </w:r>
      <w:r w:rsidRPr="00E76739">
        <w:rPr>
          <w:rFonts w:ascii="Calibri" w:eastAsia="Calibri" w:hAnsi="Calibri" w:cs="Times New Roman"/>
          <w:lang w:val="en-GB" w:eastAsia="zh-CN"/>
        </w:rPr>
        <w:t>The investigating judge of the court of jurisdiction conducts the investigation. The investigating judge may entrust the execution of certain acts of investigation to the police.</w:t>
      </w:r>
    </w:p>
    <w:p w14:paraId="5014F760" w14:textId="35DA5738" w:rsidR="00E76739" w:rsidRPr="00E76739" w:rsidRDefault="00E76739" w:rsidP="00E76739">
      <w:pPr>
        <w:autoSpaceDE w:val="0"/>
        <w:autoSpaceDN w:val="0"/>
        <w:adjustRightInd w:val="0"/>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Based on Article 19 of the Criminal Procedure Act, the state prosecutor is the </w:t>
      </w:r>
      <w:r w:rsidR="006D6504" w:rsidRPr="00E76739">
        <w:rPr>
          <w:rFonts w:ascii="Calibri" w:eastAsia="Calibri" w:hAnsi="Calibri" w:cs="Times New Roman"/>
          <w:lang w:val="en-GB" w:eastAsia="zh-CN"/>
        </w:rPr>
        <w:t>authori</w:t>
      </w:r>
      <w:r w:rsidR="006D6504">
        <w:rPr>
          <w:rFonts w:ascii="Calibri" w:eastAsia="Calibri" w:hAnsi="Calibri" w:cs="Times New Roman"/>
          <w:lang w:val="en-GB" w:eastAsia="zh-CN"/>
        </w:rPr>
        <w:t>z</w:t>
      </w:r>
      <w:r w:rsidR="006D6504" w:rsidRPr="00E76739">
        <w:rPr>
          <w:rFonts w:ascii="Calibri" w:eastAsia="Calibri" w:hAnsi="Calibri" w:cs="Times New Roman"/>
          <w:lang w:val="en-GB" w:eastAsia="zh-CN"/>
        </w:rPr>
        <w:t xml:space="preserve">ed </w:t>
      </w:r>
      <w:r w:rsidRPr="00E76739">
        <w:rPr>
          <w:rFonts w:ascii="Calibri" w:eastAsia="Calibri" w:hAnsi="Calibri" w:cs="Times New Roman"/>
          <w:lang w:val="en-GB" w:eastAsia="zh-CN"/>
        </w:rPr>
        <w:t>prosecutor in cases involving offences liable to prosecution ex officio, among which are cases of money laundering and terrorist financing. The state prosecutor directs and supervises the police investigation. The directions the prosecution gives to the police are binding and have to be executed. The role of the state prosecutor is crucial</w:t>
      </w:r>
      <w:r w:rsidR="006D6504">
        <w:rPr>
          <w:rFonts w:ascii="Calibri" w:eastAsia="Calibri" w:hAnsi="Calibri" w:cs="Times New Roman"/>
          <w:lang w:val="en-GB" w:eastAsia="zh-CN"/>
        </w:rPr>
        <w:t>,</w:t>
      </w:r>
      <w:r w:rsidRPr="00E76739">
        <w:rPr>
          <w:rFonts w:ascii="Calibri" w:eastAsia="Calibri" w:hAnsi="Calibri" w:cs="Times New Roman"/>
          <w:lang w:val="en-GB" w:eastAsia="zh-CN"/>
        </w:rPr>
        <w:t xml:space="preserve"> especially in the most difficult and complicated cases, when according to </w:t>
      </w:r>
      <w:r w:rsidR="006D6504" w:rsidRPr="00E76739">
        <w:rPr>
          <w:rFonts w:ascii="Calibri" w:eastAsia="Calibri" w:hAnsi="Calibri" w:cs="Times New Roman"/>
          <w:lang w:val="en-GB" w:eastAsia="zh-CN"/>
        </w:rPr>
        <w:t>MONEYVAL</w:t>
      </w:r>
      <w:r w:rsidRPr="00E76739">
        <w:rPr>
          <w:rFonts w:ascii="Calibri" w:eastAsia="Calibri" w:hAnsi="Calibri" w:cs="Times New Roman"/>
          <w:lang w:val="en-GB" w:eastAsia="zh-CN"/>
        </w:rPr>
        <w:t xml:space="preserve"> (</w:t>
      </w:r>
      <w:r w:rsidR="00A02A1A" w:rsidRPr="00E76739">
        <w:rPr>
          <w:rFonts w:ascii="Calibri" w:eastAsia="Calibri" w:hAnsi="Calibri" w:cs="Times New Roman"/>
          <w:lang w:val="en-GB" w:eastAsia="zh-CN"/>
        </w:rPr>
        <w:t>201</w:t>
      </w:r>
      <w:r w:rsidR="00A02A1A">
        <w:rPr>
          <w:rFonts w:ascii="Calibri" w:eastAsia="Calibri" w:hAnsi="Calibri" w:cs="Times New Roman"/>
          <w:lang w:val="en-GB" w:eastAsia="zh-CN"/>
        </w:rPr>
        <w:t>1b</w:t>
      </w:r>
      <w:r w:rsidRPr="00E76739">
        <w:rPr>
          <w:rFonts w:ascii="Calibri" w:eastAsia="Calibri" w:hAnsi="Calibri" w:cs="Times New Roman"/>
          <w:lang w:val="en-GB" w:eastAsia="zh-CN"/>
        </w:rPr>
        <w:t>), he/she can significantly affect the legality and success of the police work.</w:t>
      </w:r>
      <w:r w:rsidRPr="00E76739">
        <w:rPr>
          <w:rFonts w:ascii="Calibri" w:eastAsia="Calibri" w:hAnsi="Calibri" w:cs="Times New Roman"/>
          <w:vertAlign w:val="superscript"/>
          <w:lang w:val="en-GB" w:eastAsia="zh-CN"/>
        </w:rPr>
        <w:footnoteReference w:id="73"/>
      </w:r>
    </w:p>
    <w:p w14:paraId="4F630E6B" w14:textId="09E9E485" w:rsidR="00E76739" w:rsidRPr="00E76739" w:rsidRDefault="006D6504" w:rsidP="00E76739">
      <w:pPr>
        <w:autoSpaceDE w:val="0"/>
        <w:autoSpaceDN w:val="0"/>
        <w:adjustRightInd w:val="0"/>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MONEYVAL</w:t>
      </w:r>
      <w:r w:rsidR="00E76739" w:rsidRPr="00E76739">
        <w:rPr>
          <w:rFonts w:ascii="Calibri" w:eastAsia="Calibri" w:hAnsi="Calibri" w:cs="Times New Roman"/>
          <w:lang w:val="en-GB" w:eastAsia="zh-CN"/>
        </w:rPr>
        <w:t xml:space="preserve"> (</w:t>
      </w:r>
      <w:r w:rsidR="00CE0C60" w:rsidRPr="00E76739">
        <w:rPr>
          <w:rFonts w:ascii="Calibri" w:eastAsia="Calibri" w:hAnsi="Calibri" w:cs="Times New Roman"/>
          <w:lang w:val="en-GB" w:eastAsia="zh-CN"/>
        </w:rPr>
        <w:t>201</w:t>
      </w:r>
      <w:r w:rsidR="00CE0C60">
        <w:rPr>
          <w:rFonts w:ascii="Calibri" w:eastAsia="Calibri" w:hAnsi="Calibri" w:cs="Times New Roman"/>
          <w:lang w:val="en-GB" w:eastAsia="zh-CN"/>
        </w:rPr>
        <w:t>1b</w:t>
      </w:r>
      <w:r w:rsidR="00E76739" w:rsidRPr="00E76739">
        <w:rPr>
          <w:rFonts w:ascii="Calibri" w:eastAsia="Calibri" w:hAnsi="Calibri" w:cs="Times New Roman"/>
          <w:lang w:val="en-GB" w:eastAsia="zh-CN"/>
        </w:rPr>
        <w:t>) noted the proactive attitude of the OPML</w:t>
      </w:r>
      <w:r>
        <w:rPr>
          <w:rFonts w:ascii="Calibri" w:eastAsia="Calibri" w:hAnsi="Calibri" w:cs="Times New Roman"/>
          <w:lang w:val="en-GB" w:eastAsia="zh-CN"/>
        </w:rPr>
        <w:t>,</w:t>
      </w:r>
      <w:r w:rsidR="00E76739" w:rsidRPr="00E76739">
        <w:rPr>
          <w:rFonts w:ascii="Calibri" w:eastAsia="Calibri" w:hAnsi="Calibri" w:cs="Times New Roman"/>
          <w:lang w:val="en-GB" w:eastAsia="zh-CN"/>
        </w:rPr>
        <w:t xml:space="preserve"> but argued that efforts on the part of the police </w:t>
      </w:r>
      <w:r>
        <w:rPr>
          <w:rFonts w:ascii="Calibri" w:eastAsia="Calibri" w:hAnsi="Calibri" w:cs="Times New Roman"/>
          <w:lang w:val="en-GB" w:eastAsia="zh-CN"/>
        </w:rPr>
        <w:t>to</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 xml:space="preserve">proactively </w:t>
      </w:r>
      <w:r w:rsidRPr="00E76739">
        <w:rPr>
          <w:rFonts w:ascii="Calibri" w:eastAsia="Calibri" w:hAnsi="Calibri" w:cs="Times New Roman"/>
          <w:lang w:val="en-GB" w:eastAsia="zh-CN"/>
        </w:rPr>
        <w:t>pursu</w:t>
      </w:r>
      <w:r>
        <w:rPr>
          <w:rFonts w:ascii="Calibri" w:eastAsia="Calibri" w:hAnsi="Calibri" w:cs="Times New Roman"/>
          <w:lang w:val="en-GB" w:eastAsia="zh-CN"/>
        </w:rPr>
        <w:t>e</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 xml:space="preserve">money laundering </w:t>
      </w:r>
      <w:r>
        <w:rPr>
          <w:rFonts w:ascii="Calibri" w:eastAsia="Calibri" w:hAnsi="Calibri" w:cs="Times New Roman"/>
          <w:lang w:val="en-GB" w:eastAsia="zh-CN"/>
        </w:rPr>
        <w:t>need</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to increase.</w:t>
      </w:r>
      <w:r w:rsidR="00DA07F4">
        <w:rPr>
          <w:rFonts w:ascii="Calibri" w:eastAsia="Calibri" w:hAnsi="Calibri" w:cs="Times New Roman"/>
          <w:lang w:val="en-GB" w:eastAsia="zh-CN"/>
        </w:rPr>
        <w:t xml:space="preserve"> </w:t>
      </w:r>
      <w:r w:rsidRPr="00E76739">
        <w:rPr>
          <w:rFonts w:ascii="Calibri" w:eastAsia="Calibri" w:hAnsi="Calibri" w:cs="Times New Roman"/>
          <w:lang w:val="en-GB" w:eastAsia="zh-CN"/>
        </w:rPr>
        <w:t>MONEYVAL</w:t>
      </w:r>
      <w:r w:rsidR="00E76739" w:rsidRPr="00E76739">
        <w:rPr>
          <w:rFonts w:ascii="Calibri" w:eastAsia="Calibri" w:hAnsi="Calibri" w:cs="Times New Roman"/>
          <w:lang w:val="en-GB" w:eastAsia="zh-CN"/>
        </w:rPr>
        <w:t xml:space="preserve"> (</w:t>
      </w:r>
      <w:r w:rsidR="00D51481" w:rsidRPr="00E76739">
        <w:rPr>
          <w:rFonts w:ascii="Calibri" w:eastAsia="Calibri" w:hAnsi="Calibri" w:cs="Times New Roman"/>
          <w:lang w:val="en-GB" w:eastAsia="zh-CN"/>
        </w:rPr>
        <w:t>201</w:t>
      </w:r>
      <w:r w:rsidR="00D51481">
        <w:rPr>
          <w:rFonts w:ascii="Calibri" w:eastAsia="Calibri" w:hAnsi="Calibri" w:cs="Times New Roman"/>
          <w:lang w:val="en-GB" w:eastAsia="zh-CN"/>
        </w:rPr>
        <w:t>1b</w:t>
      </w:r>
      <w:r w:rsidR="00E76739" w:rsidRPr="00E76739">
        <w:rPr>
          <w:rFonts w:ascii="Calibri" w:eastAsia="Calibri" w:hAnsi="Calibri" w:cs="Times New Roman"/>
          <w:lang w:val="en-GB" w:eastAsia="zh-CN"/>
        </w:rPr>
        <w:t xml:space="preserve">) argued that </w:t>
      </w:r>
      <w:r>
        <w:rPr>
          <w:rFonts w:ascii="Calibri" w:eastAsia="Calibri" w:hAnsi="Calibri" w:cs="Times New Roman"/>
          <w:lang w:val="en-GB" w:eastAsia="zh-CN"/>
        </w:rPr>
        <w:t xml:space="preserve">the </w:t>
      </w:r>
      <w:r w:rsidR="00E76739" w:rsidRPr="00E76739">
        <w:rPr>
          <w:rFonts w:ascii="Calibri" w:eastAsia="Calibri" w:hAnsi="Calibri" w:cs="Times New Roman"/>
          <w:lang w:val="en-GB" w:eastAsia="zh-CN"/>
        </w:rPr>
        <w:t xml:space="preserve">law enforcement authorities might face capacity issues as </w:t>
      </w:r>
      <w:r>
        <w:rPr>
          <w:rFonts w:ascii="Calibri" w:eastAsia="Calibri" w:hAnsi="Calibri" w:cs="Times New Roman"/>
          <w:lang w:val="en-GB" w:eastAsia="zh-CN"/>
        </w:rPr>
        <w:t>they</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 xml:space="preserve">pursue few of the cases put forward by the OPML on the money laundering offence. The police and the prosecution </w:t>
      </w:r>
      <w:r>
        <w:rPr>
          <w:rFonts w:ascii="Calibri" w:eastAsia="Calibri" w:hAnsi="Calibri" w:cs="Times New Roman"/>
          <w:lang w:val="en-GB" w:eastAsia="zh-CN"/>
        </w:rPr>
        <w:t xml:space="preserve">instead </w:t>
      </w:r>
      <w:r w:rsidR="00E76739" w:rsidRPr="00E76739">
        <w:rPr>
          <w:rFonts w:ascii="Calibri" w:eastAsia="Calibri" w:hAnsi="Calibri" w:cs="Times New Roman"/>
          <w:lang w:val="en-GB" w:eastAsia="zh-CN"/>
        </w:rPr>
        <w:t xml:space="preserve">pursued other criminal offences in the cases forwarded by the OPML. The reason quoted by </w:t>
      </w:r>
      <w:r w:rsidRPr="00E76739">
        <w:rPr>
          <w:rFonts w:ascii="Calibri" w:eastAsia="Calibri" w:hAnsi="Calibri" w:cs="Times New Roman"/>
          <w:lang w:val="en-GB" w:eastAsia="zh-CN"/>
        </w:rPr>
        <w:t>MONEYVAL</w:t>
      </w:r>
      <w:r w:rsidR="00E76739" w:rsidRPr="00E76739">
        <w:rPr>
          <w:rFonts w:ascii="Calibri" w:eastAsia="Calibri" w:hAnsi="Calibri" w:cs="Times New Roman"/>
          <w:lang w:val="en-GB" w:eastAsia="zh-CN"/>
        </w:rPr>
        <w:t xml:space="preserve"> (</w:t>
      </w:r>
      <w:r w:rsidR="00D51481" w:rsidRPr="00E76739">
        <w:rPr>
          <w:rFonts w:ascii="Calibri" w:eastAsia="Calibri" w:hAnsi="Calibri" w:cs="Times New Roman"/>
          <w:lang w:val="en-GB" w:eastAsia="zh-CN"/>
        </w:rPr>
        <w:t>201</w:t>
      </w:r>
      <w:r w:rsidR="00D51481">
        <w:rPr>
          <w:rFonts w:ascii="Calibri" w:eastAsia="Calibri" w:hAnsi="Calibri" w:cs="Times New Roman"/>
          <w:lang w:val="en-GB" w:eastAsia="zh-CN"/>
        </w:rPr>
        <w:t>1b</w:t>
      </w:r>
      <w:r w:rsidR="00E76739" w:rsidRPr="00E76739">
        <w:rPr>
          <w:rFonts w:ascii="Calibri" w:eastAsia="Calibri" w:hAnsi="Calibri" w:cs="Times New Roman"/>
          <w:lang w:val="en-GB" w:eastAsia="zh-CN"/>
        </w:rPr>
        <w:t xml:space="preserve">) was a general reluctance to investigate money laundering </w:t>
      </w:r>
      <w:r>
        <w:rPr>
          <w:rFonts w:ascii="Calibri" w:eastAsia="Calibri" w:hAnsi="Calibri" w:cs="Times New Roman"/>
          <w:lang w:val="en-GB" w:eastAsia="zh-CN"/>
        </w:rPr>
        <w:t>where there is</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 xml:space="preserve">insufficient evidence </w:t>
      </w:r>
      <w:r w:rsidRPr="00E76739">
        <w:rPr>
          <w:rFonts w:ascii="Calibri" w:eastAsia="Calibri" w:hAnsi="Calibri" w:cs="Times New Roman"/>
          <w:lang w:val="en-GB" w:eastAsia="zh-CN"/>
        </w:rPr>
        <w:t>o</w:t>
      </w:r>
      <w:r>
        <w:rPr>
          <w:rFonts w:ascii="Calibri" w:eastAsia="Calibri" w:hAnsi="Calibri" w:cs="Times New Roman"/>
          <w:lang w:val="en-GB" w:eastAsia="zh-CN"/>
        </w:rPr>
        <w:t>f</w:t>
      </w:r>
      <w:r w:rsidRPr="00E76739">
        <w:rPr>
          <w:rFonts w:ascii="Calibri" w:eastAsia="Calibri" w:hAnsi="Calibri" w:cs="Times New Roman"/>
          <w:lang w:val="en-GB" w:eastAsia="zh-CN"/>
        </w:rPr>
        <w:t xml:space="preserve"> </w:t>
      </w:r>
      <w:r w:rsidR="00E76739" w:rsidRPr="00E76739">
        <w:rPr>
          <w:rFonts w:ascii="Calibri" w:eastAsia="Calibri" w:hAnsi="Calibri" w:cs="Times New Roman"/>
          <w:lang w:val="en-GB" w:eastAsia="zh-CN"/>
        </w:rPr>
        <w:t>the predicate offence. This impediment could, however, be overcome by means of new case law.</w:t>
      </w:r>
      <w:r w:rsidR="00E76739" w:rsidRPr="00E76739">
        <w:rPr>
          <w:rFonts w:ascii="Calibri" w:eastAsia="Calibri" w:hAnsi="Calibri" w:cs="Times New Roman"/>
          <w:vertAlign w:val="superscript"/>
          <w:lang w:val="en-GB" w:eastAsia="zh-CN"/>
        </w:rPr>
        <w:footnoteReference w:id="74"/>
      </w:r>
    </w:p>
    <w:p w14:paraId="262CF1F8" w14:textId="77777777" w:rsidR="00E76739" w:rsidRPr="00E76739" w:rsidRDefault="00E76739" w:rsidP="00E76739">
      <w:pPr>
        <w:spacing w:after="240" w:line="240" w:lineRule="auto"/>
        <w:jc w:val="both"/>
        <w:rPr>
          <w:rFonts w:ascii="Calibri" w:eastAsia="SimSun" w:hAnsi="Calibri" w:cs="Times New Roman"/>
          <w:b/>
          <w:bCs/>
          <w:lang w:val="en-GB" w:eastAsia="zh-CN"/>
        </w:rPr>
      </w:pPr>
      <w:bookmarkStart w:id="101" w:name="_Toc341109100"/>
      <w:bookmarkStart w:id="102" w:name="_Toc341266540"/>
      <w:bookmarkStart w:id="103" w:name="_Toc341269295"/>
      <w:r w:rsidRPr="00E76739">
        <w:rPr>
          <w:rFonts w:ascii="Calibri" w:eastAsia="SimSun" w:hAnsi="Calibri" w:cs="Times New Roman"/>
          <w:b/>
          <w:bCs/>
          <w:lang w:val="en-GB" w:eastAsia="zh-CN"/>
        </w:rPr>
        <w:br/>
      </w:r>
      <w:r w:rsidR="00BA07A1">
        <w:rPr>
          <w:rFonts w:ascii="Calibri" w:eastAsia="SimSun" w:hAnsi="Calibri" w:cs="Times New Roman"/>
          <w:b/>
          <w:bCs/>
          <w:lang w:val="en-GB" w:eastAsia="zh-CN"/>
        </w:rPr>
        <w:t>8</w:t>
      </w:r>
      <w:r w:rsidRPr="00E76739">
        <w:rPr>
          <w:rFonts w:ascii="Calibri" w:eastAsia="SimSun" w:hAnsi="Calibri" w:cs="Times New Roman"/>
          <w:b/>
          <w:bCs/>
          <w:lang w:val="en-GB" w:eastAsia="zh-CN"/>
        </w:rPr>
        <w:t>.5.24 Slovakia</w:t>
      </w:r>
      <w:bookmarkEnd w:id="101"/>
      <w:bookmarkEnd w:id="102"/>
      <w:bookmarkEnd w:id="103"/>
    </w:p>
    <w:p w14:paraId="254B7B6E" w14:textId="309D9B58"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The Slovakian FIU receives most of </w:t>
      </w:r>
      <w:r w:rsidR="00F263AF">
        <w:rPr>
          <w:rFonts w:ascii="Calibri" w:eastAsia="Times New Roman" w:hAnsi="Calibri" w:cs="Calibri"/>
          <w:lang w:val="en-GB" w:eastAsia="zh-CN"/>
        </w:rPr>
        <w:t>its</w:t>
      </w:r>
      <w:r w:rsidR="00F263AF"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UTRs from national reporting entities. It disseminates its analysis to the corresponding LEAs in accordance with the provisions of the AML/CTF Act (</w:t>
      </w:r>
      <w:r w:rsidR="00F263AF">
        <w:rPr>
          <w:rFonts w:ascii="Calibri" w:eastAsia="Times New Roman" w:hAnsi="Calibri" w:cs="Calibri"/>
          <w:lang w:val="en-GB" w:eastAsia="zh-CN"/>
        </w:rPr>
        <w:t>S</w:t>
      </w:r>
      <w:r w:rsidR="00F263AF" w:rsidRPr="00E76739">
        <w:rPr>
          <w:rFonts w:ascii="Calibri" w:eastAsia="Times New Roman" w:hAnsi="Calibri" w:cs="Calibri"/>
          <w:lang w:val="en-GB" w:eastAsia="zh-CN"/>
        </w:rPr>
        <w:t xml:space="preserve">ections </w:t>
      </w:r>
      <w:r w:rsidRPr="00E76739">
        <w:rPr>
          <w:rFonts w:ascii="Calibri" w:eastAsia="Times New Roman" w:hAnsi="Calibri" w:cs="Calibri"/>
          <w:lang w:val="en-GB" w:eastAsia="zh-CN"/>
        </w:rPr>
        <w:t xml:space="preserve">26 and 28). Most reports are forwarded to various police units, under the Presidium of the Police Force. If the information that the FIU possesses </w:t>
      </w:r>
      <w:r w:rsidR="00F263AF" w:rsidRPr="00E76739">
        <w:rPr>
          <w:rFonts w:ascii="Calibri" w:eastAsia="Times New Roman" w:hAnsi="Calibri" w:cs="Calibri"/>
          <w:lang w:val="en-GB" w:eastAsia="zh-CN"/>
        </w:rPr>
        <w:t>c</w:t>
      </w:r>
      <w:r w:rsidR="00F263AF">
        <w:rPr>
          <w:rFonts w:ascii="Calibri" w:eastAsia="Times New Roman" w:hAnsi="Calibri" w:cs="Calibri"/>
          <w:lang w:val="en-GB" w:eastAsia="zh-CN"/>
        </w:rPr>
        <w:t>an</w:t>
      </w:r>
      <w:r w:rsidR="00F263AF"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be used to initiate tax proceedings, the FIU forwards its reports to the Tax Directorate or to the Customs Directorate. In 2010, less than 9% of the reports forwarded by the FIU contained sufficient information to start a criminal investigation, but the vast majority of the reports had still to be investigated by these police units, </w:t>
      </w:r>
      <w:r w:rsidR="00F263AF" w:rsidRPr="00E76739">
        <w:rPr>
          <w:rFonts w:ascii="Calibri" w:eastAsia="Times New Roman" w:hAnsi="Calibri" w:cs="Calibri"/>
          <w:lang w:val="en-GB" w:eastAsia="zh-CN"/>
        </w:rPr>
        <w:t>wh</w:t>
      </w:r>
      <w:r w:rsidR="00F263AF">
        <w:rPr>
          <w:rFonts w:ascii="Calibri" w:eastAsia="Times New Roman" w:hAnsi="Calibri" w:cs="Calibri"/>
          <w:lang w:val="en-GB" w:eastAsia="zh-CN"/>
        </w:rPr>
        <w:t>ich</w:t>
      </w:r>
      <w:r w:rsidR="00F263AF"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ultimately decide whether the evidence support</w:t>
      </w:r>
      <w:r w:rsidR="00F263AF">
        <w:rPr>
          <w:rFonts w:ascii="Calibri" w:eastAsia="Times New Roman" w:hAnsi="Calibri" w:cs="Calibri"/>
          <w:lang w:val="en-GB" w:eastAsia="zh-CN"/>
        </w:rPr>
        <w:t>s</w:t>
      </w:r>
      <w:r w:rsidRPr="00E76739">
        <w:rPr>
          <w:rFonts w:ascii="Calibri" w:eastAsia="Times New Roman" w:hAnsi="Calibri" w:cs="Calibri"/>
          <w:lang w:val="en-GB" w:eastAsia="zh-CN"/>
        </w:rPr>
        <w:t xml:space="preserve"> the commencement of a criminal procedure or not.</w:t>
      </w:r>
      <w:r w:rsidRPr="00E76739">
        <w:rPr>
          <w:rFonts w:ascii="Calibri" w:eastAsia="Times New Roman" w:hAnsi="Calibri" w:cs="Calibri"/>
          <w:vertAlign w:val="superscript"/>
          <w:lang w:val="en-GB" w:eastAsia="zh-CN"/>
        </w:rPr>
        <w:footnoteReference w:id="75"/>
      </w:r>
    </w:p>
    <w:p w14:paraId="5BCAF79C" w14:textId="295D48C6"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When the evidence is sound, the FIU can propose the commencement of criminal investigations in a money laundering case and has to notify the PPO of </w:t>
      </w:r>
      <w:r w:rsidR="00F263AF">
        <w:rPr>
          <w:rFonts w:ascii="Calibri" w:eastAsia="Times New Roman" w:hAnsi="Calibri" w:cs="Calibri"/>
          <w:lang w:val="en-GB" w:eastAsia="zh-CN"/>
        </w:rPr>
        <w:t>this</w:t>
      </w:r>
      <w:r w:rsidRPr="00E76739">
        <w:rPr>
          <w:rFonts w:ascii="Calibri" w:eastAsia="Times New Roman" w:hAnsi="Calibri" w:cs="Calibri"/>
          <w:lang w:val="en-GB" w:eastAsia="zh-CN"/>
        </w:rPr>
        <w:t xml:space="preserve">. Furthermore, in its capacity as ARO the FIU has to provide further assistance to the LEAs with respect to the confiscation of proceeds related to a ML/TF investigation. </w:t>
      </w:r>
    </w:p>
    <w:p w14:paraId="148A14E9" w14:textId="7ABDAA8B" w:rsidR="00E76739" w:rsidRPr="00E76739" w:rsidRDefault="00E76739" w:rsidP="00E76739">
      <w:pPr>
        <w:spacing w:after="0" w:line="240" w:lineRule="auto"/>
        <w:jc w:val="center"/>
        <w:rPr>
          <w:rFonts w:ascii="Calibri" w:eastAsia="SimSun" w:hAnsi="Calibri" w:cs="Times New Roman"/>
          <w:b/>
          <w:lang w:val="en-GB" w:eastAsia="zh-CN"/>
        </w:rPr>
      </w:pPr>
      <w:bookmarkStart w:id="104" w:name="_Toc350517115"/>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420F8F" w:rsidRPr="00E76739">
        <w:rPr>
          <w:rFonts w:ascii="Calibri" w:eastAsia="SimSun" w:hAnsi="Calibri" w:cs="Times New Roman"/>
          <w:b/>
          <w:lang w:val="en-GB" w:eastAsia="zh-CN"/>
        </w:rPr>
        <w:t>2</w:t>
      </w:r>
      <w:r w:rsidR="00420F8F">
        <w:rPr>
          <w:rFonts w:ascii="Calibri" w:eastAsia="SimSun" w:hAnsi="Calibri" w:cs="Times New Roman"/>
          <w:b/>
          <w:lang w:val="en-GB" w:eastAsia="zh-CN"/>
        </w:rPr>
        <w:t>8</w:t>
      </w:r>
      <w:r w:rsidRPr="00E76739">
        <w:rPr>
          <w:rFonts w:ascii="Calibri" w:eastAsia="SimSun" w:hAnsi="Calibri" w:cs="Times New Roman"/>
          <w:b/>
          <w:lang w:val="en-GB" w:eastAsia="zh-CN"/>
        </w:rPr>
        <w:t>: AML/CTF information flows in the Slovak Republic</w:t>
      </w:r>
      <w:bookmarkEnd w:id="104"/>
    </w:p>
    <w:p w14:paraId="1050DE14"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096457EC" w14:textId="77777777" w:rsidR="00E76739" w:rsidRPr="00E76739" w:rsidRDefault="00E76739" w:rsidP="00E76739">
      <w:pPr>
        <w:spacing w:after="0" w:line="240" w:lineRule="auto"/>
        <w:jc w:val="both"/>
        <w:rPr>
          <w:rFonts w:ascii="Calibri" w:eastAsia="SimSun" w:hAnsi="Calibri" w:cs="Times New Roman"/>
          <w:b/>
          <w:lang w:val="en-GB" w:eastAsia="zh-CN"/>
        </w:rPr>
      </w:pPr>
    </w:p>
    <w:p w14:paraId="698DA41E" w14:textId="77777777" w:rsidR="00E76739" w:rsidRPr="00E76739" w:rsidRDefault="00E76739" w:rsidP="00E76739">
      <w:pPr>
        <w:spacing w:after="0" w:line="240" w:lineRule="auto"/>
        <w:jc w:val="both"/>
        <w:rPr>
          <w:rFonts w:ascii="Calibri" w:eastAsia="Times New Roman" w:hAnsi="Calibri" w:cs="Calibri"/>
          <w:color w:val="0000FF"/>
          <w:lang w:val="en-GB" w:eastAsia="zh-CN"/>
        </w:rPr>
      </w:pPr>
      <w:r w:rsidRPr="00E76739">
        <w:rPr>
          <w:rFonts w:ascii="Calibri" w:eastAsia="Times New Roman" w:hAnsi="Calibri" w:cs="Calibri"/>
          <w:noProof/>
          <w:color w:val="0000FF"/>
          <w:lang w:val="en-US" w:eastAsia="en-US"/>
        </w:rPr>
        <w:drawing>
          <wp:inline distT="0" distB="0" distL="0" distR="0" wp14:anchorId="7CFFB39E" wp14:editId="789AA038">
            <wp:extent cx="5962650" cy="2647950"/>
            <wp:effectExtent l="0" t="0" r="0" b="0"/>
            <wp:docPr id="41" name="Afbeelding 44" descr="SlovakFlow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lovakFlows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2650" cy="2647950"/>
                    </a:xfrm>
                    <a:prstGeom prst="rect">
                      <a:avLst/>
                    </a:prstGeom>
                    <a:noFill/>
                    <a:ln>
                      <a:noFill/>
                    </a:ln>
                  </pic:spPr>
                </pic:pic>
              </a:graphicData>
            </a:graphic>
          </wp:inline>
        </w:drawing>
      </w:r>
    </w:p>
    <w:p w14:paraId="79DDF341" w14:textId="3733A454" w:rsidR="00E76739" w:rsidRPr="00E76739" w:rsidRDefault="00E76739" w:rsidP="00E76739">
      <w:pPr>
        <w:spacing w:after="24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7F6757">
        <w:rPr>
          <w:rFonts w:ascii="Calibri" w:eastAsia="Calibri" w:hAnsi="Calibri" w:cs="Times New Roman"/>
          <w:i/>
          <w:sz w:val="20"/>
          <w:szCs w:val="20"/>
          <w:lang w:val="en-GB" w:eastAsia="zh-CN"/>
        </w:rPr>
        <w:t>both</w:t>
      </w:r>
      <w:r w:rsidR="007F6757"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7F6757" w:rsidRPr="00E76739">
        <w:rPr>
          <w:rFonts w:ascii="Calibri" w:eastAsia="Times New Roman" w:hAnsi="Calibri" w:cs="Calibri"/>
          <w:i/>
          <w:sz w:val="20"/>
          <w:szCs w:val="20"/>
          <w:lang w:val="en-GB" w:eastAsia="zh-CN"/>
        </w:rPr>
        <w:t>speciali</w:t>
      </w:r>
      <w:r w:rsidR="007F6757">
        <w:rPr>
          <w:rFonts w:ascii="Calibri" w:eastAsia="Times New Roman" w:hAnsi="Calibri" w:cs="Calibri"/>
          <w:i/>
          <w:sz w:val="20"/>
          <w:szCs w:val="20"/>
          <w:lang w:val="en-GB" w:eastAsia="zh-CN"/>
        </w:rPr>
        <w:t>z</w:t>
      </w:r>
      <w:r w:rsidR="007F6757"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in dealing with ML/TF cases.</w:t>
      </w:r>
    </w:p>
    <w:p w14:paraId="52C9F514" w14:textId="29447A59"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With respect to feedback, the police units to which the FIU forwards its reports are said to report promptly on the efficiency of such information</w:t>
      </w:r>
      <w:r w:rsidR="00881FF4">
        <w:rPr>
          <w:rFonts w:ascii="Calibri" w:eastAsia="Times New Roman" w:hAnsi="Calibri" w:cs="Calibri"/>
          <w:lang w:val="en-GB" w:eastAsia="zh-CN"/>
        </w:rPr>
        <w:t>.</w:t>
      </w:r>
      <w:r w:rsidRPr="00E76739">
        <w:rPr>
          <w:rFonts w:ascii="Calibri" w:eastAsia="Times New Roman" w:hAnsi="Calibri" w:cs="Calibri"/>
          <w:vertAlign w:val="superscript"/>
          <w:lang w:val="en-GB" w:eastAsia="zh-CN"/>
        </w:rPr>
        <w:footnoteReference w:id="76"/>
      </w:r>
      <w:r w:rsidRPr="00E76739">
        <w:rPr>
          <w:rFonts w:ascii="Calibri" w:eastAsia="Times New Roman" w:hAnsi="Calibri" w:cs="Calibri"/>
          <w:lang w:val="en-GB" w:eastAsia="zh-CN"/>
        </w:rPr>
        <w:t xml:space="preserve"> The Slovak FIU meets several times a year with the Director of the Criminal Unit of the General Prosecutor’s Office to inform them </w:t>
      </w:r>
      <w:r w:rsidR="00881FF4" w:rsidRPr="00E76739">
        <w:rPr>
          <w:rFonts w:ascii="Calibri" w:eastAsia="Times New Roman" w:hAnsi="Calibri" w:cs="Calibri"/>
          <w:lang w:val="en-GB" w:eastAsia="zh-CN"/>
        </w:rPr>
        <w:t>o</w:t>
      </w:r>
      <w:r w:rsidR="00881FF4">
        <w:rPr>
          <w:rFonts w:ascii="Calibri" w:eastAsia="Times New Roman" w:hAnsi="Calibri" w:cs="Calibri"/>
          <w:lang w:val="en-GB" w:eastAsia="zh-CN"/>
        </w:rPr>
        <w:t>f</w:t>
      </w:r>
      <w:r w:rsidR="00881FF4"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the </w:t>
      </w:r>
      <w:r w:rsidR="00881FF4">
        <w:rPr>
          <w:rFonts w:ascii="Calibri" w:eastAsia="Times New Roman" w:hAnsi="Calibri" w:cs="Calibri"/>
          <w:lang w:val="en-GB" w:eastAsia="zh-CN"/>
        </w:rPr>
        <w:t>lat</w:t>
      </w:r>
      <w:r w:rsidR="00881FF4" w:rsidRPr="00E76739">
        <w:rPr>
          <w:rFonts w:ascii="Calibri" w:eastAsia="Times New Roman" w:hAnsi="Calibri" w:cs="Calibri"/>
          <w:lang w:val="en-GB" w:eastAsia="zh-CN"/>
        </w:rPr>
        <w:t xml:space="preserve">est </w:t>
      </w:r>
      <w:r w:rsidRPr="00E76739">
        <w:rPr>
          <w:rFonts w:ascii="Calibri" w:eastAsia="Times New Roman" w:hAnsi="Calibri" w:cs="Calibri"/>
          <w:lang w:val="en-GB" w:eastAsia="zh-CN"/>
        </w:rPr>
        <w:t>AML/CTF trends. From the 2010 FIU report it may be concluded that the FIU is the leading authority in AML/CTF policy, and that closer collaboration between the PPO and the FIU would be beneficial for both institutions from a learning point of view. Unfortunately, according to the Slovakian representative</w:t>
      </w:r>
      <w:r w:rsidR="00881FF4">
        <w:rPr>
          <w:rFonts w:ascii="Calibri" w:eastAsia="Times New Roman" w:hAnsi="Calibri" w:cs="Calibri"/>
          <w:lang w:val="en-GB" w:eastAsia="zh-CN"/>
        </w:rPr>
        <w:t>,</w:t>
      </w:r>
      <w:r w:rsidRPr="00E76739">
        <w:rPr>
          <w:rFonts w:ascii="Calibri" w:eastAsia="Times New Roman" w:hAnsi="Calibri" w:cs="Calibri"/>
          <w:lang w:val="en-GB" w:eastAsia="zh-CN"/>
        </w:rPr>
        <w:t xml:space="preserve"> </w:t>
      </w:r>
      <w:r w:rsidR="00881FF4" w:rsidRPr="00E76739">
        <w:rPr>
          <w:rFonts w:ascii="Calibri" w:eastAsia="Times New Roman" w:hAnsi="Calibri" w:cs="Calibri"/>
          <w:lang w:val="en-GB" w:eastAsia="zh-CN"/>
        </w:rPr>
        <w:t>a</w:t>
      </w:r>
      <w:r w:rsidR="00881FF4">
        <w:rPr>
          <w:rFonts w:ascii="Calibri" w:eastAsia="Times New Roman" w:hAnsi="Calibri" w:cs="Calibri"/>
          <w:lang w:val="en-GB" w:eastAsia="zh-CN"/>
        </w:rPr>
        <w:t>nd</w:t>
      </w:r>
      <w:r w:rsidR="00881FF4" w:rsidRPr="00E76739">
        <w:rPr>
          <w:rFonts w:ascii="Calibri" w:eastAsia="Times New Roman" w:hAnsi="Calibri" w:cs="Calibri"/>
          <w:lang w:val="en-GB" w:eastAsia="zh-CN"/>
        </w:rPr>
        <w:t xml:space="preserve"> </w:t>
      </w:r>
      <w:r w:rsidR="00881FF4">
        <w:rPr>
          <w:rFonts w:ascii="Calibri" w:eastAsia="Times New Roman" w:hAnsi="Calibri" w:cs="Calibri"/>
          <w:lang w:val="en-GB" w:eastAsia="zh-CN"/>
        </w:rPr>
        <w:t>confirmed by</w:t>
      </w:r>
      <w:r w:rsidRPr="00E76739">
        <w:rPr>
          <w:rFonts w:ascii="Calibri" w:eastAsia="Times New Roman" w:hAnsi="Calibri" w:cs="Calibri"/>
          <w:lang w:val="en-GB" w:eastAsia="zh-CN"/>
        </w:rPr>
        <w:t xml:space="preserve"> the </w:t>
      </w:r>
      <w:r w:rsidR="00881FF4" w:rsidRPr="00E76739">
        <w:rPr>
          <w:rFonts w:ascii="Calibri" w:eastAsia="Times New Roman" w:hAnsi="Calibri" w:cs="Calibri"/>
          <w:lang w:val="en-GB" w:eastAsia="zh-CN"/>
        </w:rPr>
        <w:t>MONEYVAL</w:t>
      </w:r>
      <w:r w:rsidRPr="00E76739">
        <w:rPr>
          <w:rFonts w:ascii="Calibri" w:eastAsia="Times New Roman" w:hAnsi="Calibri" w:cs="Calibri"/>
          <w:lang w:val="en-GB" w:eastAsia="zh-CN"/>
        </w:rPr>
        <w:t xml:space="preserve"> Fourth Round Assessment Visit, the feedback the PPO provides to the FIU is mostly concentrated on statistics, rather than on the background of the prosecutions that were started on the basis of the information provided by the FIU.</w:t>
      </w:r>
      <w:r w:rsidRPr="00E76739">
        <w:rPr>
          <w:rFonts w:ascii="Calibri" w:eastAsia="Times New Roman" w:hAnsi="Calibri" w:cs="Calibri"/>
          <w:vertAlign w:val="superscript"/>
          <w:lang w:val="en-GB" w:eastAsia="zh-CN"/>
        </w:rPr>
        <w:footnoteReference w:id="77"/>
      </w:r>
    </w:p>
    <w:p w14:paraId="28CBF2D5" w14:textId="33A57EB2"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With respect to </w:t>
      </w:r>
      <w:r w:rsidR="000E0B0B" w:rsidRPr="00E76739">
        <w:rPr>
          <w:rFonts w:ascii="Calibri" w:eastAsia="Times New Roman" w:hAnsi="Calibri" w:cs="Calibri"/>
          <w:lang w:val="en-GB" w:eastAsia="zh-CN"/>
        </w:rPr>
        <w:t>speciali</w:t>
      </w:r>
      <w:r w:rsidR="000E0B0B">
        <w:rPr>
          <w:rFonts w:ascii="Calibri" w:eastAsia="Times New Roman" w:hAnsi="Calibri" w:cs="Calibri"/>
          <w:lang w:val="en-GB" w:eastAsia="zh-CN"/>
        </w:rPr>
        <w:t>z</w:t>
      </w:r>
      <w:r w:rsidR="000E0B0B" w:rsidRPr="00E76739">
        <w:rPr>
          <w:rFonts w:ascii="Calibri" w:eastAsia="Times New Roman" w:hAnsi="Calibri" w:cs="Calibri"/>
          <w:lang w:val="en-GB" w:eastAsia="zh-CN"/>
        </w:rPr>
        <w:t>ation</w:t>
      </w:r>
      <w:r w:rsidRPr="00E76739">
        <w:rPr>
          <w:rFonts w:ascii="Calibri" w:eastAsia="Times New Roman" w:hAnsi="Calibri" w:cs="Calibri"/>
          <w:lang w:val="en-GB" w:eastAsia="zh-CN"/>
        </w:rPr>
        <w:t xml:space="preserve">, it seems that Slovakia has introduced </w:t>
      </w:r>
      <w:r w:rsidR="000E0B0B" w:rsidRPr="00E76739">
        <w:rPr>
          <w:rFonts w:ascii="Calibri" w:eastAsia="Times New Roman" w:hAnsi="Calibri" w:cs="Calibri"/>
          <w:lang w:val="en-GB" w:eastAsia="zh-CN"/>
        </w:rPr>
        <w:t>speciali</w:t>
      </w:r>
      <w:r w:rsidR="000E0B0B">
        <w:rPr>
          <w:rFonts w:ascii="Calibri" w:eastAsia="Times New Roman" w:hAnsi="Calibri" w:cs="Calibri"/>
          <w:lang w:val="en-GB" w:eastAsia="zh-CN"/>
        </w:rPr>
        <w:t>z</w:t>
      </w:r>
      <w:r w:rsidR="000E0B0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agencies at all levels of the repressive enforcement chain. There is a prosecution department handling the most complex money laundering cases as well as a </w:t>
      </w:r>
      <w:r w:rsidR="000E0B0B">
        <w:rPr>
          <w:rFonts w:ascii="Calibri" w:eastAsia="Times New Roman" w:hAnsi="Calibri" w:cs="Calibri"/>
          <w:lang w:val="en-GB" w:eastAsia="zh-CN"/>
        </w:rPr>
        <w:t>s</w:t>
      </w:r>
      <w:r w:rsidR="000E0B0B" w:rsidRPr="00E76739">
        <w:rPr>
          <w:rFonts w:ascii="Calibri" w:eastAsia="Times New Roman" w:hAnsi="Calibri" w:cs="Calibri"/>
          <w:lang w:val="en-GB" w:eastAsia="zh-CN"/>
        </w:rPr>
        <w:t>peciali</w:t>
      </w:r>
      <w:r w:rsidR="000E0B0B">
        <w:rPr>
          <w:rFonts w:ascii="Calibri" w:eastAsia="Times New Roman" w:hAnsi="Calibri" w:cs="Calibri"/>
          <w:lang w:val="en-GB" w:eastAsia="zh-CN"/>
        </w:rPr>
        <w:t>z</w:t>
      </w:r>
      <w:r w:rsidR="000E0B0B" w:rsidRPr="00E76739">
        <w:rPr>
          <w:rFonts w:ascii="Calibri" w:eastAsia="Times New Roman" w:hAnsi="Calibri" w:cs="Calibri"/>
          <w:lang w:val="en-GB" w:eastAsia="zh-CN"/>
        </w:rPr>
        <w:t xml:space="preserve">ed </w:t>
      </w:r>
      <w:r w:rsidR="000E0B0B">
        <w:rPr>
          <w:rFonts w:ascii="Calibri" w:eastAsia="Times New Roman" w:hAnsi="Calibri" w:cs="Calibri"/>
          <w:lang w:val="en-GB" w:eastAsia="zh-CN"/>
        </w:rPr>
        <w:t>c</w:t>
      </w:r>
      <w:r w:rsidR="000E0B0B" w:rsidRPr="00E76739">
        <w:rPr>
          <w:rFonts w:ascii="Calibri" w:eastAsia="Times New Roman" w:hAnsi="Calibri" w:cs="Calibri"/>
          <w:lang w:val="en-GB" w:eastAsia="zh-CN"/>
        </w:rPr>
        <w:t xml:space="preserve">riminal </w:t>
      </w:r>
      <w:r w:rsidR="000E0B0B">
        <w:rPr>
          <w:rFonts w:ascii="Calibri" w:eastAsia="Times New Roman" w:hAnsi="Calibri" w:cs="Calibri"/>
          <w:lang w:val="en-GB" w:eastAsia="zh-CN"/>
        </w:rPr>
        <w:t>c</w:t>
      </w:r>
      <w:r w:rsidR="000E0B0B" w:rsidRPr="00E76739">
        <w:rPr>
          <w:rFonts w:ascii="Calibri" w:eastAsia="Times New Roman" w:hAnsi="Calibri" w:cs="Calibri"/>
          <w:lang w:val="en-GB" w:eastAsia="zh-CN"/>
        </w:rPr>
        <w:t xml:space="preserve">ourt </w:t>
      </w:r>
      <w:r w:rsidRPr="00E76739">
        <w:rPr>
          <w:rFonts w:ascii="Calibri" w:eastAsia="Times New Roman" w:hAnsi="Calibri" w:cs="Calibri"/>
          <w:lang w:val="en-GB" w:eastAsia="zh-CN"/>
        </w:rPr>
        <w:t>for more serious crimes</w:t>
      </w:r>
      <w:r w:rsidR="000E0B0B">
        <w:rPr>
          <w:rFonts w:ascii="Calibri" w:eastAsia="Times New Roman" w:hAnsi="Calibri" w:cs="Calibri"/>
          <w:lang w:val="en-GB" w:eastAsia="zh-CN"/>
        </w:rPr>
        <w:t>.</w:t>
      </w:r>
      <w:r w:rsidRPr="00E76739">
        <w:rPr>
          <w:rFonts w:ascii="Calibri" w:eastAsia="Times New Roman" w:hAnsi="Calibri" w:cs="Times New Roman"/>
          <w:vertAlign w:val="superscript"/>
          <w:lang w:val="en-GB" w:eastAsia="zh-CN"/>
        </w:rPr>
        <w:footnoteReference w:id="78"/>
      </w:r>
      <w:r w:rsidRPr="00E76739">
        <w:rPr>
          <w:rFonts w:ascii="Calibri" w:eastAsia="Times New Roman" w:hAnsi="Calibri" w:cs="Calibri"/>
          <w:lang w:val="en-GB" w:eastAsia="zh-CN"/>
        </w:rPr>
        <w:t xml:space="preserve"> </w:t>
      </w:r>
    </w:p>
    <w:p w14:paraId="332FA4CE" w14:textId="77777777" w:rsidR="00E76739" w:rsidRPr="00E76739" w:rsidRDefault="00BA07A1" w:rsidP="00E76739">
      <w:pPr>
        <w:spacing w:after="240" w:line="240" w:lineRule="auto"/>
        <w:jc w:val="both"/>
        <w:rPr>
          <w:rFonts w:ascii="Calibri" w:eastAsia="SimSun" w:hAnsi="Calibri" w:cs="Times New Roman"/>
          <w:b/>
          <w:bCs/>
          <w:lang w:val="en-GB" w:eastAsia="zh-CN"/>
        </w:rPr>
      </w:pPr>
      <w:bookmarkStart w:id="105" w:name="_Toc341109101"/>
      <w:bookmarkStart w:id="106" w:name="_Toc341266541"/>
      <w:bookmarkStart w:id="107" w:name="_Toc341269296"/>
      <w:r>
        <w:rPr>
          <w:rFonts w:ascii="Calibri" w:eastAsia="SimSun" w:hAnsi="Calibri" w:cs="Times New Roman"/>
          <w:b/>
          <w:bCs/>
          <w:lang w:val="en-GB" w:eastAsia="zh-CN"/>
        </w:rPr>
        <w:br/>
        <w:t>8</w:t>
      </w:r>
      <w:r w:rsidR="00E76739" w:rsidRPr="00E76739">
        <w:rPr>
          <w:rFonts w:ascii="Calibri" w:eastAsia="SimSun" w:hAnsi="Calibri" w:cs="Times New Roman"/>
          <w:b/>
          <w:bCs/>
          <w:lang w:val="en-GB" w:eastAsia="zh-CN"/>
        </w:rPr>
        <w:t xml:space="preserve">.5.25 </w:t>
      </w:r>
      <w:r w:rsidR="00E76739" w:rsidRPr="00E76739">
        <w:rPr>
          <w:rFonts w:ascii="Calibri" w:eastAsia="SimSun" w:hAnsi="Calibri" w:cs="Times New Roman"/>
          <w:b/>
          <w:bCs/>
          <w:lang w:val="en-GB" w:eastAsia="zh-CN"/>
        </w:rPr>
        <w:tab/>
        <w:t>Spain</w:t>
      </w:r>
      <w:bookmarkEnd w:id="105"/>
      <w:bookmarkEnd w:id="106"/>
      <w:bookmarkEnd w:id="107"/>
    </w:p>
    <w:p w14:paraId="45D23AFE" w14:textId="12E52B0C"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In Spain, upon receipt of an STR, the administration decides whether the STR pertains to ML or TF. If there are no antecedents on the person, </w:t>
      </w:r>
      <w:r w:rsidR="0071196B">
        <w:rPr>
          <w:rFonts w:ascii="Calibri" w:eastAsia="Times New Roman" w:hAnsi="Calibri" w:cs="Calibri"/>
          <w:lang w:val="en-GB" w:eastAsia="zh-CN"/>
        </w:rPr>
        <w:t>and</w:t>
      </w:r>
      <w:r w:rsidR="0071196B"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there </w:t>
      </w:r>
      <w:r w:rsidR="0071196B">
        <w:rPr>
          <w:rFonts w:ascii="Calibri" w:eastAsia="Times New Roman" w:hAnsi="Calibri" w:cs="Calibri"/>
          <w:lang w:val="en-GB" w:eastAsia="zh-CN"/>
        </w:rPr>
        <w:t>is</w:t>
      </w:r>
      <w:r w:rsidRPr="00E76739">
        <w:rPr>
          <w:rFonts w:ascii="Calibri" w:eastAsia="Times New Roman" w:hAnsi="Calibri" w:cs="Calibri"/>
          <w:lang w:val="en-GB" w:eastAsia="zh-CN"/>
        </w:rPr>
        <w:t xml:space="preserve"> </w:t>
      </w:r>
      <w:r w:rsidR="0071196B">
        <w:rPr>
          <w:rFonts w:ascii="Calibri" w:eastAsia="Times New Roman" w:hAnsi="Calibri" w:cs="Calibri"/>
          <w:lang w:val="en-GB" w:eastAsia="zh-CN"/>
        </w:rPr>
        <w:t xml:space="preserve">no </w:t>
      </w:r>
      <w:r w:rsidRPr="00E76739">
        <w:rPr>
          <w:rFonts w:ascii="Calibri" w:eastAsia="Times New Roman" w:hAnsi="Calibri" w:cs="Calibri"/>
          <w:lang w:val="en-GB" w:eastAsia="zh-CN"/>
        </w:rPr>
        <w:t xml:space="preserve">clear indication of the predicate offence, SEPBLAC </w:t>
      </w:r>
      <w:r w:rsidR="0071196B">
        <w:rPr>
          <w:rFonts w:ascii="Calibri" w:eastAsia="Times New Roman" w:hAnsi="Calibri" w:cs="Calibri"/>
          <w:lang w:val="en-GB" w:eastAsia="zh-CN"/>
        </w:rPr>
        <w:t>–</w:t>
      </w:r>
      <w:r w:rsidRPr="00E76739">
        <w:rPr>
          <w:rFonts w:ascii="Calibri" w:eastAsia="Times New Roman" w:hAnsi="Calibri" w:cs="Calibri"/>
          <w:lang w:val="en-GB" w:eastAsia="zh-CN"/>
        </w:rPr>
        <w:t xml:space="preserve"> through its liaison officers from the National Police and the Civil Guard – sends the ML reports to the </w:t>
      </w:r>
      <w:r w:rsidR="0071196B" w:rsidRPr="00E76739">
        <w:rPr>
          <w:rFonts w:ascii="Calibri" w:eastAsia="Times New Roman" w:hAnsi="Calibri" w:cs="Calibri"/>
          <w:lang w:val="en-GB" w:eastAsia="zh-CN"/>
        </w:rPr>
        <w:t>speciali</w:t>
      </w:r>
      <w:r w:rsidR="0071196B">
        <w:rPr>
          <w:rFonts w:ascii="Calibri" w:eastAsia="Times New Roman" w:hAnsi="Calibri" w:cs="Calibri"/>
          <w:lang w:val="en-GB" w:eastAsia="zh-CN"/>
        </w:rPr>
        <w:t>z</w:t>
      </w:r>
      <w:r w:rsidR="0071196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departments of the National Police (UCIC: Central Criminal Intelligence Unit) or of the Civil Guard (UTPJ: The Technical Unit of the Financial Police). If the case is related to the financing of terrorism</w:t>
      </w:r>
      <w:r w:rsidR="0071196B">
        <w:rPr>
          <w:rFonts w:ascii="Calibri" w:eastAsia="Times New Roman" w:hAnsi="Calibri" w:cs="Calibri"/>
          <w:lang w:val="en-GB" w:eastAsia="zh-CN"/>
        </w:rPr>
        <w:t>,</w:t>
      </w:r>
      <w:r w:rsidRPr="00E76739">
        <w:rPr>
          <w:rFonts w:ascii="Calibri" w:eastAsia="Times New Roman" w:hAnsi="Calibri" w:cs="Calibri"/>
          <w:lang w:val="en-GB" w:eastAsia="zh-CN"/>
        </w:rPr>
        <w:t xml:space="preserve"> it is given to other </w:t>
      </w:r>
      <w:r w:rsidR="0071196B" w:rsidRPr="00E76739">
        <w:rPr>
          <w:rFonts w:ascii="Calibri" w:eastAsia="Times New Roman" w:hAnsi="Calibri" w:cs="Calibri"/>
          <w:lang w:val="en-GB" w:eastAsia="zh-CN"/>
        </w:rPr>
        <w:t>speciali</w:t>
      </w:r>
      <w:r w:rsidR="0071196B">
        <w:rPr>
          <w:rFonts w:ascii="Calibri" w:eastAsia="Times New Roman" w:hAnsi="Calibri" w:cs="Calibri"/>
          <w:lang w:val="en-GB" w:eastAsia="zh-CN"/>
        </w:rPr>
        <w:t>z</w:t>
      </w:r>
      <w:r w:rsidR="0071196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departments of the National Police (CGI: The General Intelligence Commission) and of the Civil Guard (SI: The Intelligence Service). Should the SEPBLAC notice a clear offence in its investigation</w:t>
      </w:r>
      <w:r w:rsidR="0071196B">
        <w:rPr>
          <w:rFonts w:ascii="Calibri" w:eastAsia="Times New Roman" w:hAnsi="Calibri" w:cs="Calibri"/>
          <w:lang w:val="en-GB" w:eastAsia="zh-CN"/>
        </w:rPr>
        <w:t>,</w:t>
      </w:r>
      <w:r w:rsidRPr="00E76739">
        <w:rPr>
          <w:rFonts w:ascii="Calibri" w:eastAsia="Times New Roman" w:hAnsi="Calibri" w:cs="Calibri"/>
          <w:lang w:val="en-GB" w:eastAsia="zh-CN"/>
        </w:rPr>
        <w:t xml:space="preserve"> it will send the information to the competent public prosecutor on Anti-Corruption or on Anti-Drugs. This, however, </w:t>
      </w:r>
      <w:r w:rsidR="0071196B" w:rsidRPr="0071196B">
        <w:rPr>
          <w:rFonts w:ascii="Calibri" w:eastAsia="Times New Roman" w:hAnsi="Calibri" w:cs="Calibri"/>
          <w:lang w:val="en-GB" w:eastAsia="zh-CN"/>
        </w:rPr>
        <w:t xml:space="preserve">seldom </w:t>
      </w:r>
      <w:r w:rsidRPr="00E76739">
        <w:rPr>
          <w:rFonts w:ascii="Calibri" w:eastAsia="Times New Roman" w:hAnsi="Calibri" w:cs="Calibri"/>
          <w:lang w:val="en-GB" w:eastAsia="zh-CN"/>
        </w:rPr>
        <w:t>happens.</w:t>
      </w:r>
    </w:p>
    <w:p w14:paraId="2D2DF90B" w14:textId="53282AFC" w:rsidR="00E76739" w:rsidRPr="00E76739" w:rsidRDefault="00E76739" w:rsidP="00E76739">
      <w:pPr>
        <w:spacing w:after="240" w:line="240" w:lineRule="auto"/>
        <w:jc w:val="both"/>
        <w:rPr>
          <w:rFonts w:ascii="Calibri" w:eastAsia="SimSun" w:hAnsi="Calibri" w:cs="Times New Roman"/>
          <w:b/>
          <w:lang w:val="en-GB" w:eastAsia="zh-CN"/>
        </w:rPr>
      </w:pPr>
      <w:r w:rsidRPr="00E76739">
        <w:rPr>
          <w:rFonts w:ascii="Calibri" w:eastAsia="Times New Roman" w:hAnsi="Calibri" w:cs="Calibri"/>
          <w:lang w:val="en-GB" w:eastAsia="zh-CN"/>
        </w:rPr>
        <w:t xml:space="preserve">In Spain, terrorist financing is more often investigated than other EU MS due to the presence of </w:t>
      </w:r>
      <w:r w:rsidR="0071196B" w:rsidRPr="00E76739">
        <w:rPr>
          <w:rFonts w:ascii="Calibri" w:eastAsia="Times New Roman" w:hAnsi="Calibri" w:cs="Calibri"/>
          <w:lang w:val="en-GB" w:eastAsia="zh-CN"/>
        </w:rPr>
        <w:t>recogni</w:t>
      </w:r>
      <w:r w:rsidR="0071196B">
        <w:rPr>
          <w:rFonts w:ascii="Calibri" w:eastAsia="Times New Roman" w:hAnsi="Calibri" w:cs="Calibri"/>
          <w:lang w:val="en-GB" w:eastAsia="zh-CN"/>
        </w:rPr>
        <w:t>z</w:t>
      </w:r>
      <w:r w:rsidR="0071196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terrorist factions within its territory. It is therefore no coincidence that both ML and TF are investigated and prosecuted by </w:t>
      </w:r>
      <w:r w:rsidR="0071196B" w:rsidRPr="00E76739">
        <w:rPr>
          <w:rFonts w:ascii="Calibri" w:eastAsia="Times New Roman" w:hAnsi="Calibri" w:cs="Calibri"/>
          <w:lang w:val="en-GB" w:eastAsia="zh-CN"/>
        </w:rPr>
        <w:t>speciali</w:t>
      </w:r>
      <w:r w:rsidR="0071196B">
        <w:rPr>
          <w:rFonts w:ascii="Calibri" w:eastAsia="Times New Roman" w:hAnsi="Calibri" w:cs="Calibri"/>
          <w:lang w:val="en-GB" w:eastAsia="zh-CN"/>
        </w:rPr>
        <w:t>z</w:t>
      </w:r>
      <w:r w:rsidR="0071196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units that essentially work independently as well as with one another. There are two </w:t>
      </w:r>
      <w:r w:rsidR="0071196B" w:rsidRPr="00E76739">
        <w:rPr>
          <w:rFonts w:ascii="Calibri" w:eastAsia="Times New Roman" w:hAnsi="Calibri" w:cs="Calibri"/>
          <w:lang w:val="en-GB" w:eastAsia="zh-CN"/>
        </w:rPr>
        <w:t>centrali</w:t>
      </w:r>
      <w:r w:rsidR="0071196B">
        <w:rPr>
          <w:rFonts w:ascii="Calibri" w:eastAsia="Times New Roman" w:hAnsi="Calibri" w:cs="Calibri"/>
          <w:lang w:val="en-GB" w:eastAsia="zh-CN"/>
        </w:rPr>
        <w:t>z</w:t>
      </w:r>
      <w:r w:rsidR="0071196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points for the police, </w:t>
      </w:r>
      <w:r w:rsidR="0071196B" w:rsidRPr="00E76739">
        <w:rPr>
          <w:rFonts w:ascii="Calibri" w:eastAsia="Times New Roman" w:hAnsi="Calibri" w:cs="Calibri"/>
          <w:lang w:val="en-GB" w:eastAsia="zh-CN"/>
        </w:rPr>
        <w:t>wh</w:t>
      </w:r>
      <w:r w:rsidR="0071196B">
        <w:rPr>
          <w:rFonts w:ascii="Calibri" w:eastAsia="Times New Roman" w:hAnsi="Calibri" w:cs="Calibri"/>
          <w:lang w:val="en-GB" w:eastAsia="zh-CN"/>
        </w:rPr>
        <w:t>o</w:t>
      </w:r>
      <w:r w:rsidR="0071196B"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decide whether there is an overlap regarding the investigation, and who is going to perform the final investigation, the National Police or the Civil Guard. These points are mentioned in the Information flow chart as CICO – Centre for </w:t>
      </w:r>
      <w:r w:rsidR="0071196B" w:rsidRPr="00E76739">
        <w:rPr>
          <w:rFonts w:ascii="Calibri" w:eastAsia="Times New Roman" w:hAnsi="Calibri" w:cs="Calibri"/>
          <w:lang w:val="en-GB" w:eastAsia="zh-CN"/>
        </w:rPr>
        <w:t>Organi</w:t>
      </w:r>
      <w:r w:rsidR="0071196B">
        <w:rPr>
          <w:rFonts w:ascii="Calibri" w:eastAsia="Times New Roman" w:hAnsi="Calibri" w:cs="Calibri"/>
          <w:lang w:val="en-GB" w:eastAsia="zh-CN"/>
        </w:rPr>
        <w:t>z</w:t>
      </w:r>
      <w:r w:rsidR="0071196B"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Crime Intelligence and CNCA – National Centre for Anti-terrorist Coordination</w:t>
      </w:r>
      <w:r w:rsidRPr="003E5910">
        <w:rPr>
          <w:rFonts w:ascii="Calibri" w:eastAsia="SimSun" w:hAnsi="Calibri" w:cs="Times New Roman"/>
          <w:lang w:val="en-GB" w:eastAsia="zh-CN"/>
        </w:rPr>
        <w:t>.</w:t>
      </w:r>
    </w:p>
    <w:p w14:paraId="57B7DB82" w14:textId="4705DAD1" w:rsidR="00E76739" w:rsidRPr="00E76739" w:rsidRDefault="00E76739" w:rsidP="00E76739">
      <w:pPr>
        <w:spacing w:after="0" w:line="240" w:lineRule="auto"/>
        <w:jc w:val="center"/>
        <w:rPr>
          <w:rFonts w:ascii="Calibri" w:eastAsia="SimSun" w:hAnsi="Calibri" w:cs="Times New Roman"/>
          <w:b/>
          <w:lang w:val="en-GB" w:eastAsia="zh-CN"/>
        </w:rPr>
      </w:pPr>
      <w:bookmarkStart w:id="108" w:name="_Toc350517116"/>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420F8F" w:rsidRPr="00E76739">
        <w:rPr>
          <w:rFonts w:ascii="Calibri" w:eastAsia="SimSun" w:hAnsi="Calibri" w:cs="Times New Roman"/>
          <w:b/>
          <w:lang w:val="en-GB" w:eastAsia="zh-CN"/>
        </w:rPr>
        <w:t>2</w:t>
      </w:r>
      <w:r w:rsidR="00420F8F">
        <w:rPr>
          <w:rFonts w:ascii="Calibri" w:eastAsia="SimSun" w:hAnsi="Calibri" w:cs="Times New Roman"/>
          <w:b/>
          <w:lang w:val="en-GB" w:eastAsia="zh-CN"/>
        </w:rPr>
        <w:t>9</w:t>
      </w:r>
      <w:r w:rsidRPr="00E76739">
        <w:rPr>
          <w:rFonts w:ascii="Calibri" w:eastAsia="SimSun" w:hAnsi="Calibri" w:cs="Times New Roman"/>
          <w:b/>
          <w:lang w:val="en-GB" w:eastAsia="zh-CN"/>
        </w:rPr>
        <w:t>: AML/CTF Information flows in Spain</w:t>
      </w:r>
      <w:bookmarkEnd w:id="108"/>
    </w:p>
    <w:p w14:paraId="436CF320" w14:textId="77777777" w:rsidR="00E76739" w:rsidRPr="00E76739" w:rsidRDefault="00E76739" w:rsidP="00E76739">
      <w:pPr>
        <w:spacing w:after="0" w:line="240" w:lineRule="auto"/>
        <w:jc w:val="center"/>
        <w:rPr>
          <w:rFonts w:ascii="Calibri" w:eastAsia="SimSun" w:hAnsi="Calibri" w:cs="Times New Roman"/>
          <w:b/>
          <w:lang w:val="en-GB" w:eastAsia="zh-CN"/>
        </w:rPr>
      </w:pPr>
    </w:p>
    <w:p w14:paraId="45B7F7DA" w14:textId="77777777" w:rsidR="00E76739" w:rsidRPr="00E76739" w:rsidRDefault="00E76739" w:rsidP="00E76739">
      <w:pPr>
        <w:spacing w:after="0" w:line="240" w:lineRule="auto"/>
        <w:jc w:val="both"/>
        <w:rPr>
          <w:rFonts w:ascii="Calibri" w:eastAsia="Times New Roman" w:hAnsi="Calibri" w:cs="Calibri"/>
          <w:lang w:val="en-GB" w:eastAsia="zh-CN"/>
        </w:rPr>
      </w:pPr>
      <w:r w:rsidRPr="00E76739">
        <w:rPr>
          <w:rFonts w:ascii="Calibri" w:eastAsia="Times New Roman" w:hAnsi="Calibri" w:cs="Calibri"/>
          <w:noProof/>
          <w:lang w:val="en-US" w:eastAsia="en-US"/>
        </w:rPr>
        <w:drawing>
          <wp:inline distT="0" distB="0" distL="0" distR="0" wp14:anchorId="5F016CDE" wp14:editId="54BA6979">
            <wp:extent cx="5962650" cy="3228975"/>
            <wp:effectExtent l="0" t="0" r="0" b="9525"/>
            <wp:docPr id="42" name="Afbeelding 45" descr="SpainFlow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ainFlows.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2650" cy="3228975"/>
                    </a:xfrm>
                    <a:prstGeom prst="rect">
                      <a:avLst/>
                    </a:prstGeom>
                    <a:noFill/>
                    <a:ln>
                      <a:noFill/>
                    </a:ln>
                  </pic:spPr>
                </pic:pic>
              </a:graphicData>
            </a:graphic>
          </wp:inline>
        </w:drawing>
      </w:r>
    </w:p>
    <w:p w14:paraId="3DAC4F3F" w14:textId="4272CD46" w:rsidR="00E76739" w:rsidRPr="00E76739" w:rsidRDefault="00E76739" w:rsidP="00E76739">
      <w:pPr>
        <w:spacing w:after="240" w:line="240" w:lineRule="auto"/>
        <w:jc w:val="both"/>
        <w:rPr>
          <w:rFonts w:ascii="Calibri" w:eastAsia="Times New Roman" w:hAnsi="Calibri" w:cs="Calibri"/>
          <w:i/>
          <w:sz w:val="20"/>
          <w:szCs w:val="20"/>
          <w:lang w:val="en-GB" w:eastAsia="zh-CN"/>
        </w:rPr>
      </w:pPr>
      <w:r w:rsidRPr="00E76739">
        <w:rPr>
          <w:rFonts w:ascii="Calibri" w:eastAsia="Times New Roman" w:hAnsi="Calibri" w:cs="Calibri"/>
          <w:i/>
          <w:sz w:val="20"/>
          <w:szCs w:val="20"/>
          <w:lang w:val="en-GB" w:eastAsia="zh-CN"/>
        </w:rPr>
        <w:t>Legend: In the figure above the red arrows show the ML/TF flows of information; blue arrows represent the feedback given and received by the FIU; dotted arrows mark intermediated flows (feedback); the thickness of the arrows reflects the intensity of the information flows –</w:t>
      </w:r>
      <w:r w:rsidR="0071797A">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in terms of </w:t>
      </w:r>
      <w:r w:rsidR="00EC529F">
        <w:rPr>
          <w:rFonts w:ascii="Calibri" w:eastAsia="Calibri" w:hAnsi="Calibri" w:cs="Times New Roman"/>
          <w:i/>
          <w:sz w:val="20"/>
          <w:szCs w:val="20"/>
          <w:lang w:val="en-GB" w:eastAsia="zh-CN"/>
        </w:rPr>
        <w:t>both</w:t>
      </w:r>
      <w:r w:rsidR="00EC529F" w:rsidRPr="00E76739">
        <w:rPr>
          <w:rFonts w:ascii="Calibri" w:eastAsia="Times New Roman" w:hAnsi="Calibri" w:cs="Calibri"/>
          <w:i/>
          <w:sz w:val="20"/>
          <w:szCs w:val="20"/>
          <w:lang w:val="en-GB" w:eastAsia="zh-CN"/>
        </w:rPr>
        <w:t xml:space="preserve"> </w:t>
      </w:r>
      <w:r w:rsidRPr="00E76739">
        <w:rPr>
          <w:rFonts w:ascii="Calibri" w:eastAsia="Times New Roman" w:hAnsi="Calibri" w:cs="Calibri"/>
          <w:i/>
          <w:sz w:val="20"/>
          <w:szCs w:val="20"/>
          <w:lang w:val="en-GB" w:eastAsia="zh-CN"/>
        </w:rPr>
        <w:t xml:space="preserve">quantity and quality; shaded boxes are used to designate those departments/offices/institutions that have a higher level of </w:t>
      </w:r>
      <w:r w:rsidR="00EC529F" w:rsidRPr="00E76739">
        <w:rPr>
          <w:rFonts w:ascii="Calibri" w:eastAsia="Times New Roman" w:hAnsi="Calibri" w:cs="Calibri"/>
          <w:i/>
          <w:sz w:val="20"/>
          <w:szCs w:val="20"/>
          <w:lang w:val="en-GB" w:eastAsia="zh-CN"/>
        </w:rPr>
        <w:t>speciali</w:t>
      </w:r>
      <w:r w:rsidR="00EC529F">
        <w:rPr>
          <w:rFonts w:ascii="Calibri" w:eastAsia="Times New Roman" w:hAnsi="Calibri" w:cs="Calibri"/>
          <w:i/>
          <w:sz w:val="20"/>
          <w:szCs w:val="20"/>
          <w:lang w:val="en-GB" w:eastAsia="zh-CN"/>
        </w:rPr>
        <w:t>z</w:t>
      </w:r>
      <w:r w:rsidR="00EC529F" w:rsidRPr="00E76739">
        <w:rPr>
          <w:rFonts w:ascii="Calibri" w:eastAsia="Times New Roman" w:hAnsi="Calibri" w:cs="Calibri"/>
          <w:i/>
          <w:sz w:val="20"/>
          <w:szCs w:val="20"/>
          <w:lang w:val="en-GB" w:eastAsia="zh-CN"/>
        </w:rPr>
        <w:t xml:space="preserve">ation </w:t>
      </w:r>
      <w:r w:rsidRPr="00E76739">
        <w:rPr>
          <w:rFonts w:ascii="Calibri" w:eastAsia="Times New Roman" w:hAnsi="Calibri" w:cs="Calibri"/>
          <w:i/>
          <w:sz w:val="20"/>
          <w:szCs w:val="20"/>
          <w:lang w:val="en-GB" w:eastAsia="zh-CN"/>
        </w:rPr>
        <w:t>in dealing with ML/TF cases.</w:t>
      </w:r>
    </w:p>
    <w:p w14:paraId="1668F0B1" w14:textId="65800817"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In Spain, the </w:t>
      </w:r>
      <w:r w:rsidR="00062C4F">
        <w:rPr>
          <w:rFonts w:ascii="Calibri" w:eastAsia="Times New Roman" w:hAnsi="Calibri" w:cs="Calibri"/>
          <w:lang w:val="en-GB" w:eastAsia="zh-CN"/>
        </w:rPr>
        <w:t>p</w:t>
      </w:r>
      <w:r w:rsidR="00062C4F" w:rsidRPr="00E76739">
        <w:rPr>
          <w:rFonts w:ascii="Calibri" w:eastAsia="Times New Roman" w:hAnsi="Calibri" w:cs="Calibri"/>
          <w:lang w:val="en-GB" w:eastAsia="zh-CN"/>
        </w:rPr>
        <w:t xml:space="preserve">rosecution </w:t>
      </w:r>
      <w:r w:rsidRPr="00E76739">
        <w:rPr>
          <w:rFonts w:ascii="Calibri" w:eastAsia="Times New Roman" w:hAnsi="Calibri" w:cs="Calibri"/>
          <w:lang w:val="en-GB" w:eastAsia="zh-CN"/>
        </w:rPr>
        <w:t>service operates directly under the National Court (‘Audiencia</w:t>
      </w:r>
      <w:r w:rsidR="00E40C44">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Nacional’) and there are three </w:t>
      </w:r>
      <w:r w:rsidR="00E40C44" w:rsidRPr="00E76739">
        <w:rPr>
          <w:rFonts w:ascii="Calibri" w:eastAsia="Times New Roman" w:hAnsi="Calibri" w:cs="Calibri"/>
          <w:lang w:val="en-GB" w:eastAsia="zh-CN"/>
        </w:rPr>
        <w:t>speciali</w:t>
      </w:r>
      <w:r w:rsidR="00E40C44">
        <w:rPr>
          <w:rFonts w:ascii="Calibri" w:eastAsia="Times New Roman" w:hAnsi="Calibri" w:cs="Calibri"/>
          <w:lang w:val="en-GB" w:eastAsia="zh-CN"/>
        </w:rPr>
        <w:t>z</w:t>
      </w:r>
      <w:r w:rsidR="00E40C44"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prosecution services: </w:t>
      </w:r>
      <w:r w:rsidR="00E40C44">
        <w:rPr>
          <w:rFonts w:ascii="Calibri" w:eastAsia="Times New Roman" w:hAnsi="Calibri" w:cs="Calibri"/>
          <w:lang w:val="en-GB" w:eastAsia="zh-CN"/>
        </w:rPr>
        <w:t>t</w:t>
      </w:r>
      <w:r w:rsidR="00E40C44" w:rsidRPr="00E76739">
        <w:rPr>
          <w:rFonts w:ascii="Calibri" w:eastAsia="Times New Roman" w:hAnsi="Calibri" w:cs="Calibri"/>
          <w:lang w:val="en-GB" w:eastAsia="zh-CN"/>
        </w:rPr>
        <w:t xml:space="preserve">he </w:t>
      </w:r>
      <w:r w:rsidRPr="00E76739">
        <w:rPr>
          <w:rFonts w:ascii="Calibri" w:eastAsia="Times New Roman" w:hAnsi="Calibri" w:cs="Calibri"/>
          <w:lang w:val="en-GB" w:eastAsia="zh-CN"/>
        </w:rPr>
        <w:t xml:space="preserve">National Court Prosecution Service handles TF cases, the Anti-drugs Prosecution Service </w:t>
      </w:r>
      <w:r w:rsidR="00E40C44" w:rsidRPr="00E76739">
        <w:rPr>
          <w:rFonts w:ascii="Calibri" w:eastAsia="Times New Roman" w:hAnsi="Calibri" w:cs="Calibri"/>
          <w:lang w:val="en-GB" w:eastAsia="zh-CN"/>
        </w:rPr>
        <w:t>speciali</w:t>
      </w:r>
      <w:r w:rsidR="00E40C44">
        <w:rPr>
          <w:rFonts w:ascii="Calibri" w:eastAsia="Times New Roman" w:hAnsi="Calibri" w:cs="Calibri"/>
          <w:lang w:val="en-GB" w:eastAsia="zh-CN"/>
        </w:rPr>
        <w:t>z</w:t>
      </w:r>
      <w:r w:rsidR="00E40C44" w:rsidRPr="00E76739">
        <w:rPr>
          <w:rFonts w:ascii="Calibri" w:eastAsia="Times New Roman" w:hAnsi="Calibri" w:cs="Calibri"/>
          <w:lang w:val="en-GB" w:eastAsia="zh-CN"/>
        </w:rPr>
        <w:t>e</w:t>
      </w:r>
      <w:r w:rsidR="00E40C44">
        <w:rPr>
          <w:rFonts w:ascii="Calibri" w:eastAsia="Times New Roman" w:hAnsi="Calibri" w:cs="Calibri"/>
          <w:lang w:val="en-GB" w:eastAsia="zh-CN"/>
        </w:rPr>
        <w:t>s</w:t>
      </w:r>
      <w:r w:rsidR="00E40C44" w:rsidRPr="00E76739">
        <w:rPr>
          <w:rFonts w:ascii="Calibri" w:eastAsia="Times New Roman" w:hAnsi="Calibri" w:cs="Calibri"/>
          <w:lang w:val="en-GB" w:eastAsia="zh-CN"/>
        </w:rPr>
        <w:t xml:space="preserve"> </w:t>
      </w:r>
      <w:r w:rsidR="00E40C44">
        <w:rPr>
          <w:rFonts w:ascii="Calibri" w:eastAsia="Times New Roman" w:hAnsi="Calibri" w:cs="Calibri"/>
          <w:lang w:val="en-GB" w:eastAsia="zh-CN"/>
        </w:rPr>
        <w:t xml:space="preserve">in </w:t>
      </w:r>
      <w:r w:rsidRPr="00E76739">
        <w:rPr>
          <w:rFonts w:ascii="Calibri" w:eastAsia="Times New Roman" w:hAnsi="Calibri" w:cs="Calibri"/>
          <w:lang w:val="en-GB" w:eastAsia="zh-CN"/>
        </w:rPr>
        <w:t xml:space="preserve">prosecution </w:t>
      </w:r>
      <w:r w:rsidR="00E40C44" w:rsidRPr="00E76739">
        <w:rPr>
          <w:rFonts w:ascii="Calibri" w:eastAsia="Times New Roman" w:hAnsi="Calibri" w:cs="Calibri"/>
          <w:lang w:val="en-GB" w:eastAsia="zh-CN"/>
        </w:rPr>
        <w:t>o</w:t>
      </w:r>
      <w:r w:rsidR="00E40C44">
        <w:rPr>
          <w:rFonts w:ascii="Calibri" w:eastAsia="Times New Roman" w:hAnsi="Calibri" w:cs="Calibri"/>
          <w:lang w:val="en-GB" w:eastAsia="zh-CN"/>
        </w:rPr>
        <w:t>f</w:t>
      </w:r>
      <w:r w:rsidR="00E40C44"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drug crimes </w:t>
      </w:r>
      <w:r w:rsidR="00E40C44">
        <w:rPr>
          <w:rFonts w:ascii="Calibri" w:eastAsia="Times New Roman" w:hAnsi="Calibri" w:cs="Calibri"/>
          <w:lang w:val="en-GB" w:eastAsia="zh-CN"/>
        </w:rPr>
        <w:t>and</w:t>
      </w:r>
      <w:r w:rsidR="00E40C44"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has a long tradition, and the Anti-corruption Prosecution Service works on the repression of corruption-related offences.</w:t>
      </w:r>
    </w:p>
    <w:p w14:paraId="52E670BE" w14:textId="7C48F595" w:rsidR="00E76739" w:rsidRPr="00E76739" w:rsidRDefault="00E76739" w:rsidP="00E76739">
      <w:pPr>
        <w:spacing w:after="240" w:line="240" w:lineRule="auto"/>
        <w:jc w:val="both"/>
        <w:rPr>
          <w:rFonts w:ascii="Calibri" w:eastAsia="Times New Roman" w:hAnsi="Calibri" w:cs="Calibri"/>
          <w:lang w:val="en-GB" w:eastAsia="zh-CN"/>
        </w:rPr>
      </w:pPr>
      <w:r w:rsidRPr="00E76739">
        <w:rPr>
          <w:rFonts w:ascii="Calibri" w:eastAsia="Times New Roman" w:hAnsi="Calibri" w:cs="Calibri"/>
          <w:lang w:val="en-GB" w:eastAsia="zh-CN"/>
        </w:rPr>
        <w:t xml:space="preserve">With respect to feedback the FIU is content with the feedback it receives both from the </w:t>
      </w:r>
      <w:r w:rsidR="00E40C44" w:rsidRPr="00E76739">
        <w:rPr>
          <w:rFonts w:ascii="Calibri" w:eastAsia="Times New Roman" w:hAnsi="Calibri" w:cs="Calibri"/>
          <w:lang w:val="en-GB" w:eastAsia="zh-CN"/>
        </w:rPr>
        <w:t>speciali</w:t>
      </w:r>
      <w:r w:rsidR="00E40C44">
        <w:rPr>
          <w:rFonts w:ascii="Calibri" w:eastAsia="Times New Roman" w:hAnsi="Calibri" w:cs="Calibri"/>
          <w:lang w:val="en-GB" w:eastAsia="zh-CN"/>
        </w:rPr>
        <w:t>z</w:t>
      </w:r>
      <w:r w:rsidR="00E40C44"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prosecution services as well as from the </w:t>
      </w:r>
      <w:r w:rsidR="00E40C44" w:rsidRPr="00E76739">
        <w:rPr>
          <w:rFonts w:ascii="Calibri" w:eastAsia="Times New Roman" w:hAnsi="Calibri" w:cs="Calibri"/>
          <w:lang w:val="en-GB" w:eastAsia="zh-CN"/>
        </w:rPr>
        <w:t>speciali</w:t>
      </w:r>
      <w:r w:rsidR="00E40C44">
        <w:rPr>
          <w:rFonts w:ascii="Calibri" w:eastAsia="Times New Roman" w:hAnsi="Calibri" w:cs="Calibri"/>
          <w:lang w:val="en-GB" w:eastAsia="zh-CN"/>
        </w:rPr>
        <w:t>z</w:t>
      </w:r>
      <w:r w:rsidR="00E40C44" w:rsidRPr="00E76739">
        <w:rPr>
          <w:rFonts w:ascii="Calibri" w:eastAsia="Times New Roman" w:hAnsi="Calibri" w:cs="Calibri"/>
          <w:lang w:val="en-GB" w:eastAsia="zh-CN"/>
        </w:rPr>
        <w:t xml:space="preserve">ed </w:t>
      </w:r>
      <w:r w:rsidRPr="00E76739">
        <w:rPr>
          <w:rFonts w:ascii="Calibri" w:eastAsia="Times New Roman" w:hAnsi="Calibri" w:cs="Calibri"/>
          <w:lang w:val="en-GB" w:eastAsia="zh-CN"/>
        </w:rPr>
        <w:t xml:space="preserve">investigation units it works with. Both the Spanish FIU and PPO representatives argued </w:t>
      </w:r>
      <w:r w:rsidR="00E40C44" w:rsidRPr="00E76739">
        <w:rPr>
          <w:rFonts w:ascii="Calibri" w:eastAsia="Times New Roman" w:hAnsi="Calibri" w:cs="Calibri"/>
          <w:lang w:val="en-GB" w:eastAsia="zh-CN"/>
        </w:rPr>
        <w:t>th</w:t>
      </w:r>
      <w:r w:rsidR="00E40C44">
        <w:rPr>
          <w:rFonts w:ascii="Calibri" w:eastAsia="Times New Roman" w:hAnsi="Calibri" w:cs="Calibri"/>
          <w:lang w:val="en-GB" w:eastAsia="zh-CN"/>
        </w:rPr>
        <w:t>at</w:t>
      </w:r>
      <w:r w:rsidR="00E40C44" w:rsidRPr="00E76739">
        <w:rPr>
          <w:rFonts w:ascii="Calibri" w:eastAsia="Times New Roman" w:hAnsi="Calibri" w:cs="Calibri"/>
          <w:lang w:val="en-GB" w:eastAsia="zh-CN"/>
        </w:rPr>
        <w:t xml:space="preserve"> </w:t>
      </w:r>
      <w:r w:rsidRPr="00E76739">
        <w:rPr>
          <w:rFonts w:ascii="Calibri" w:eastAsia="Times New Roman" w:hAnsi="Calibri" w:cs="Calibri"/>
          <w:lang w:val="en-GB" w:eastAsia="zh-CN"/>
        </w:rPr>
        <w:t xml:space="preserve">cooperation between the two is effective. </w:t>
      </w:r>
    </w:p>
    <w:p w14:paraId="6D801CEF" w14:textId="77777777" w:rsidR="00E76739" w:rsidRPr="00E76739" w:rsidRDefault="00E76739" w:rsidP="00E76739">
      <w:pPr>
        <w:spacing w:after="0" w:line="240" w:lineRule="auto"/>
        <w:rPr>
          <w:rFonts w:ascii="Calibri" w:eastAsia="SimSun" w:hAnsi="Calibri" w:cs="Times New Roman"/>
          <w:b/>
          <w:bCs/>
          <w:lang w:val="en-GB" w:eastAsia="zh-CN"/>
        </w:rPr>
      </w:pPr>
      <w:bookmarkStart w:id="109" w:name="_Toc341109102"/>
      <w:bookmarkStart w:id="110" w:name="_Toc341266542"/>
      <w:r w:rsidRPr="00E76739">
        <w:rPr>
          <w:rFonts w:ascii="Calibri" w:eastAsia="SimSun" w:hAnsi="Calibri" w:cs="Times New Roman"/>
          <w:b/>
          <w:bCs/>
          <w:lang w:val="en-GB" w:eastAsia="zh-CN"/>
        </w:rPr>
        <w:br w:type="page"/>
      </w:r>
    </w:p>
    <w:p w14:paraId="66E2FCF3" w14:textId="77777777" w:rsidR="00E76739" w:rsidRPr="00E76739" w:rsidRDefault="00BA07A1" w:rsidP="00E76739">
      <w:pPr>
        <w:spacing w:after="240" w:line="240" w:lineRule="auto"/>
        <w:jc w:val="both"/>
        <w:rPr>
          <w:rFonts w:ascii="Calibri" w:eastAsia="SimSun" w:hAnsi="Calibri" w:cs="Times New Roman"/>
          <w:b/>
          <w:bCs/>
          <w:lang w:val="en-GB" w:eastAsia="zh-CN"/>
        </w:rPr>
      </w:pPr>
      <w:r>
        <w:rPr>
          <w:rFonts w:ascii="Calibri" w:eastAsia="SimSun" w:hAnsi="Calibri" w:cs="Times New Roman"/>
          <w:b/>
          <w:bCs/>
          <w:lang w:val="en-GB" w:eastAsia="zh-CN"/>
        </w:rPr>
        <w:t>8</w:t>
      </w:r>
      <w:r w:rsidR="00E76739" w:rsidRPr="00E76739">
        <w:rPr>
          <w:rFonts w:ascii="Calibri" w:eastAsia="SimSun" w:hAnsi="Calibri" w:cs="Times New Roman"/>
          <w:b/>
          <w:bCs/>
          <w:lang w:val="en-GB" w:eastAsia="zh-CN"/>
        </w:rPr>
        <w:t>.5.26</w:t>
      </w:r>
      <w:r w:rsidR="00E76739" w:rsidRPr="00E76739">
        <w:rPr>
          <w:rFonts w:ascii="Calibri" w:eastAsia="SimSun" w:hAnsi="Calibri" w:cs="Times New Roman"/>
          <w:b/>
          <w:bCs/>
          <w:lang w:val="en-GB" w:eastAsia="zh-CN"/>
        </w:rPr>
        <w:tab/>
        <w:t xml:space="preserve"> Sweden</w:t>
      </w:r>
      <w:bookmarkEnd w:id="109"/>
      <w:bookmarkEnd w:id="110"/>
    </w:p>
    <w:p w14:paraId="2D0EE77F" w14:textId="36838816" w:rsidR="00E76739" w:rsidRPr="00E76739" w:rsidRDefault="00E76739" w:rsidP="00E76739">
      <w:pPr>
        <w:spacing w:after="240" w:line="240" w:lineRule="auto"/>
        <w:jc w:val="both"/>
        <w:rPr>
          <w:rFonts w:ascii="Calibri" w:eastAsia="SimSun" w:hAnsi="Calibri" w:cs="Times New Roman"/>
          <w:b/>
          <w:lang w:val="en-GB" w:eastAsia="zh-CN"/>
        </w:rPr>
      </w:pPr>
      <w:r w:rsidRPr="00E76739">
        <w:rPr>
          <w:rFonts w:ascii="Calibri" w:eastAsia="Calibri" w:hAnsi="Calibri" w:cs="Calibri"/>
          <w:lang w:val="en-GB" w:eastAsia="zh-CN"/>
        </w:rPr>
        <w:t xml:space="preserve">In Sweden, the FIU is an independent unit of the National Police Board. The FIU can choose to forward its cases to the Swedish National Prosecution Authority or to the </w:t>
      </w:r>
      <w:r w:rsidR="0083593B">
        <w:rPr>
          <w:rFonts w:ascii="Calibri" w:eastAsia="Calibri" w:hAnsi="Calibri" w:cs="Calibri"/>
          <w:lang w:val="en-GB" w:eastAsia="zh-CN"/>
        </w:rPr>
        <w:t>Economic Crimes Bureau (</w:t>
      </w:r>
      <w:r w:rsidRPr="00E76739">
        <w:rPr>
          <w:rFonts w:ascii="Calibri" w:eastAsia="Calibri" w:hAnsi="Calibri" w:cs="Calibri"/>
          <w:lang w:val="en-GB" w:eastAsia="zh-CN"/>
        </w:rPr>
        <w:t>ECB</w:t>
      </w:r>
      <w:r w:rsidR="0083593B">
        <w:rPr>
          <w:rFonts w:ascii="Calibri" w:eastAsia="Calibri" w:hAnsi="Calibri" w:cs="Calibri"/>
          <w:lang w:val="en-GB" w:eastAsia="zh-CN"/>
        </w:rPr>
        <w:t>)</w:t>
      </w:r>
      <w:r w:rsidRPr="00E76739">
        <w:rPr>
          <w:rFonts w:ascii="Calibri" w:eastAsia="Calibri" w:hAnsi="Calibri" w:cs="Calibri"/>
          <w:lang w:val="en-GB" w:eastAsia="zh-CN"/>
        </w:rPr>
        <w:t xml:space="preserve">. The decision of the FIU </w:t>
      </w:r>
      <w:r w:rsidR="0083593B">
        <w:rPr>
          <w:rFonts w:ascii="Calibri" w:eastAsia="Calibri" w:hAnsi="Calibri" w:cs="Calibri"/>
          <w:lang w:val="en-GB" w:eastAsia="zh-CN"/>
        </w:rPr>
        <w:t xml:space="preserve">as to </w:t>
      </w:r>
      <w:r w:rsidRPr="00E76739">
        <w:rPr>
          <w:rFonts w:ascii="Calibri" w:eastAsia="Calibri" w:hAnsi="Calibri" w:cs="Calibri"/>
          <w:lang w:val="en-GB" w:eastAsia="zh-CN"/>
        </w:rPr>
        <w:t xml:space="preserve">whether to forward an intelligence report to the local police office or to the ECB depends on the size/importance of the case. In Sweden, it is the Prosecutor General who decides if the ECB or the National Prosecution Authority will eventually prosecute the case and, in general, major pre-trial investigations are led by a public prosecutor. In terms of feedback, according to the Swedish representative, the FIU really has to push for feedback. Currently, the FIU is working with the police and PPO on this matter. </w:t>
      </w:r>
    </w:p>
    <w:p w14:paraId="2FD3B839" w14:textId="16023E55" w:rsidR="00E76739" w:rsidRPr="00E76739" w:rsidRDefault="00E76739" w:rsidP="00E76739">
      <w:pPr>
        <w:spacing w:after="0" w:line="240" w:lineRule="auto"/>
        <w:jc w:val="center"/>
        <w:rPr>
          <w:rFonts w:ascii="Calibri" w:eastAsia="SimSun" w:hAnsi="Calibri" w:cs="Times New Roman"/>
          <w:b/>
          <w:lang w:val="en-GB" w:eastAsia="zh-CN"/>
        </w:rPr>
      </w:pPr>
      <w:bookmarkStart w:id="111" w:name="_Toc350517117"/>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420F8F">
        <w:rPr>
          <w:rFonts w:ascii="Calibri" w:eastAsia="SimSun" w:hAnsi="Calibri" w:cs="Times New Roman"/>
          <w:b/>
          <w:lang w:val="en-GB" w:eastAsia="zh-CN"/>
        </w:rPr>
        <w:t>30</w:t>
      </w:r>
      <w:r w:rsidRPr="00E76739">
        <w:rPr>
          <w:rFonts w:ascii="Calibri" w:eastAsia="SimSun" w:hAnsi="Calibri" w:cs="Times New Roman"/>
          <w:b/>
          <w:lang w:val="en-GB" w:eastAsia="zh-CN"/>
        </w:rPr>
        <w:t>: AML/CTF Information flows</w:t>
      </w:r>
      <w:r w:rsidR="0083593B">
        <w:rPr>
          <w:rFonts w:ascii="Calibri" w:eastAsia="SimSun" w:hAnsi="Calibri" w:cs="Times New Roman"/>
          <w:b/>
          <w:lang w:val="en-GB" w:eastAsia="zh-CN"/>
        </w:rPr>
        <w:t xml:space="preserve"> </w:t>
      </w:r>
      <w:r w:rsidRPr="00E76739">
        <w:rPr>
          <w:rFonts w:ascii="Calibri" w:eastAsia="SimSun" w:hAnsi="Calibri" w:cs="Times New Roman"/>
          <w:b/>
          <w:lang w:val="en-GB" w:eastAsia="zh-CN"/>
        </w:rPr>
        <w:t>in Sweden</w:t>
      </w:r>
      <w:bookmarkEnd w:id="111"/>
    </w:p>
    <w:p w14:paraId="684F2850" w14:textId="77777777" w:rsidR="00E76739" w:rsidRPr="00E76739" w:rsidRDefault="00E76739" w:rsidP="00E76739">
      <w:pPr>
        <w:spacing w:after="0" w:line="240" w:lineRule="auto"/>
        <w:jc w:val="both"/>
        <w:rPr>
          <w:rFonts w:ascii="Calibri" w:eastAsia="SimSun" w:hAnsi="Calibri" w:cs="Times New Roman"/>
          <w:b/>
          <w:lang w:val="en-GB" w:eastAsia="zh-CN"/>
        </w:rPr>
      </w:pPr>
    </w:p>
    <w:p w14:paraId="3FCA7B73" w14:textId="77777777" w:rsidR="00E76739" w:rsidRPr="00E76739" w:rsidRDefault="00C9097D" w:rsidP="00E76739">
      <w:pPr>
        <w:spacing w:after="0" w:line="240" w:lineRule="auto"/>
        <w:jc w:val="both"/>
        <w:rPr>
          <w:rFonts w:ascii="Calibri" w:eastAsia="Times New Roman" w:hAnsi="Calibri" w:cs="Calibri"/>
          <w:lang w:val="en-GB" w:eastAsia="zh-CN"/>
        </w:rPr>
      </w:pPr>
      <w:r>
        <w:rPr>
          <w:rFonts w:ascii="Verdana" w:eastAsia="SimSun" w:hAnsi="Verdana" w:cs="Times New Roman"/>
          <w:noProof/>
          <w:lang w:val="en-US" w:eastAsia="en-US"/>
        </w:rPr>
        <mc:AlternateContent>
          <mc:Choice Requires="wpc">
            <w:drawing>
              <wp:inline distT="0" distB="0" distL="0" distR="0" wp14:anchorId="0E6D2538" wp14:editId="0C399C28">
                <wp:extent cx="5215890" cy="2379345"/>
                <wp:effectExtent l="0" t="635" r="3810" b="20320"/>
                <wp:docPr id="266" name="Papier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fgeronde rechthoek 64"/>
                        <wps:cNvSpPr>
                          <a:spLocks noChangeArrowheads="1"/>
                        </wps:cNvSpPr>
                        <wps:spPr bwMode="auto">
                          <a:xfrm>
                            <a:off x="1086219" y="752314"/>
                            <a:ext cx="2636145" cy="837916"/>
                          </a:xfrm>
                          <a:prstGeom prst="roundRect">
                            <a:avLst>
                              <a:gd name="adj" fmla="val 16667"/>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26616C6C" w14:textId="77777777" w:rsidR="00972546" w:rsidRDefault="00972546" w:rsidP="00E76739">
                              <w:pPr>
                                <w:pStyle w:val="NormalWeb"/>
                                <w:spacing w:after="0"/>
                                <w:jc w:val="right"/>
                                <w:rPr>
                                  <w:sz w:val="22"/>
                                  <w:szCs w:val="22"/>
                                </w:rPr>
                              </w:pPr>
                            </w:p>
                          </w:txbxContent>
                        </wps:txbx>
                        <wps:bodyPr rot="0" vert="horz" wrap="square" lIns="91440" tIns="45720" rIns="91440" bIns="45720" anchor="ctr" anchorCtr="0" upright="1">
                          <a:noAutofit/>
                        </wps:bodyPr>
                      </wps:wsp>
                      <wps:wsp>
                        <wps:cNvPr id="2" name="Afgeronde rechthoek 65"/>
                        <wps:cNvSpPr>
                          <a:spLocks noChangeArrowheads="1"/>
                        </wps:cNvSpPr>
                        <wps:spPr bwMode="auto">
                          <a:xfrm>
                            <a:off x="47601" y="569411"/>
                            <a:ext cx="981117" cy="533410"/>
                          </a:xfrm>
                          <a:prstGeom prst="roundRect">
                            <a:avLst>
                              <a:gd name="adj" fmla="val 16667"/>
                            </a:avLst>
                          </a:prstGeom>
                          <a:solidFill>
                            <a:srgbClr val="4F81BD"/>
                          </a:solidFill>
                          <a:ln w="25400">
                            <a:solidFill>
                              <a:srgbClr val="385D8A"/>
                            </a:solidFill>
                            <a:round/>
                            <a:headEnd/>
                            <a:tailEnd/>
                          </a:ln>
                        </wps:spPr>
                        <wps:txbx>
                          <w:txbxContent>
                            <w:p w14:paraId="6285B11D" w14:textId="35A07CC7" w:rsidR="00972546" w:rsidRDefault="00972546" w:rsidP="00E76739">
                              <w:pPr>
                                <w:jc w:val="center"/>
                                <w:rPr>
                                  <w:color w:val="FFFFFF"/>
                                </w:rPr>
                              </w:pPr>
                              <w:r>
                                <w:rPr>
                                  <w:color w:val="FFFFFF"/>
                                </w:rPr>
                                <w:t>Supervised Entities</w:t>
                              </w:r>
                            </w:p>
                          </w:txbxContent>
                        </wps:txbx>
                        <wps:bodyPr rot="0" vert="horz" wrap="square" lIns="91440" tIns="45720" rIns="91440" bIns="45720" anchor="ctr" anchorCtr="0" upright="1">
                          <a:noAutofit/>
                        </wps:bodyPr>
                      </wps:wsp>
                      <wps:wsp>
                        <wps:cNvPr id="3" name="Afgeronde rechthoek 66"/>
                        <wps:cNvSpPr>
                          <a:spLocks noChangeArrowheads="1"/>
                        </wps:cNvSpPr>
                        <wps:spPr bwMode="auto">
                          <a:xfrm>
                            <a:off x="47601" y="1235123"/>
                            <a:ext cx="981117" cy="533410"/>
                          </a:xfrm>
                          <a:prstGeom prst="roundRect">
                            <a:avLst>
                              <a:gd name="adj" fmla="val 16667"/>
                            </a:avLst>
                          </a:prstGeom>
                          <a:solidFill>
                            <a:srgbClr val="4F81BD"/>
                          </a:solidFill>
                          <a:ln w="25400">
                            <a:solidFill>
                              <a:srgbClr val="385D8A"/>
                            </a:solidFill>
                            <a:round/>
                            <a:headEnd/>
                            <a:tailEnd/>
                          </a:ln>
                        </wps:spPr>
                        <wps:txbx>
                          <w:txbxContent>
                            <w:p w14:paraId="1E11D008"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wps:txbx>
                        <wps:bodyPr rot="0" vert="horz" wrap="square" lIns="91440" tIns="45720" rIns="91440" bIns="45720" anchor="ctr" anchorCtr="0" upright="1">
                          <a:noAutofit/>
                        </wps:bodyPr>
                      </wps:wsp>
                      <wps:wsp>
                        <wps:cNvPr id="4" name="Afgeronde rechthoek 67"/>
                        <wps:cNvSpPr>
                          <a:spLocks noChangeArrowheads="1"/>
                        </wps:cNvSpPr>
                        <wps:spPr bwMode="auto">
                          <a:xfrm>
                            <a:off x="1257222" y="919517"/>
                            <a:ext cx="971517" cy="533410"/>
                          </a:xfrm>
                          <a:prstGeom prst="roundRect">
                            <a:avLst>
                              <a:gd name="adj" fmla="val 16667"/>
                            </a:avLst>
                          </a:prstGeom>
                          <a:solidFill>
                            <a:srgbClr val="4F81BD"/>
                          </a:solidFill>
                          <a:ln w="25400">
                            <a:solidFill>
                              <a:srgbClr val="385D8A"/>
                            </a:solidFill>
                            <a:round/>
                            <a:headEnd/>
                            <a:tailEnd/>
                          </a:ln>
                        </wps:spPr>
                        <wps:txbx>
                          <w:txbxContent>
                            <w:p w14:paraId="7425A4C2"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wps:txbx>
                        <wps:bodyPr rot="0" vert="horz" wrap="square" lIns="91440" tIns="45720" rIns="91440" bIns="45720" anchor="ctr" anchorCtr="0" upright="1">
                          <a:noAutofit/>
                        </wps:bodyPr>
                      </wps:wsp>
                      <wps:wsp>
                        <wps:cNvPr id="5" name="Afgeronde rechthoek 68"/>
                        <wps:cNvSpPr>
                          <a:spLocks noChangeArrowheads="1"/>
                        </wps:cNvSpPr>
                        <wps:spPr bwMode="auto">
                          <a:xfrm>
                            <a:off x="2621845" y="1846735"/>
                            <a:ext cx="971617" cy="533410"/>
                          </a:xfrm>
                          <a:prstGeom prst="roundRect">
                            <a:avLst>
                              <a:gd name="adj" fmla="val 16667"/>
                            </a:avLst>
                          </a:prstGeom>
                          <a:solidFill>
                            <a:srgbClr val="4F81BD"/>
                          </a:solidFill>
                          <a:ln w="25400">
                            <a:solidFill>
                              <a:srgbClr val="385D8A"/>
                            </a:solidFill>
                            <a:round/>
                            <a:headEnd/>
                            <a:tailEnd/>
                          </a:ln>
                        </wps:spPr>
                        <wps:txbx>
                          <w:txbxContent>
                            <w:p w14:paraId="0F8C553C"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wps:txbx>
                        <wps:bodyPr rot="0" vert="horz" wrap="square" lIns="91440" tIns="45720" rIns="91440" bIns="45720" anchor="ctr" anchorCtr="0" upright="1">
                          <a:noAutofit/>
                        </wps:bodyPr>
                      </wps:wsp>
                      <wps:wsp>
                        <wps:cNvPr id="6" name="Afgeronde rechthoek 69"/>
                        <wps:cNvSpPr>
                          <a:spLocks noChangeArrowheads="1"/>
                        </wps:cNvSpPr>
                        <wps:spPr bwMode="auto">
                          <a:xfrm>
                            <a:off x="4017169" y="919717"/>
                            <a:ext cx="970917" cy="533410"/>
                          </a:xfrm>
                          <a:prstGeom prst="roundRect">
                            <a:avLst>
                              <a:gd name="adj" fmla="val 16667"/>
                            </a:avLst>
                          </a:prstGeom>
                          <a:solidFill>
                            <a:srgbClr val="4F81BD"/>
                          </a:solidFill>
                          <a:ln w="25400">
                            <a:solidFill>
                              <a:srgbClr val="385D8A"/>
                            </a:solidFill>
                            <a:round/>
                            <a:headEnd/>
                            <a:tailEnd/>
                          </a:ln>
                        </wps:spPr>
                        <wps:txbx>
                          <w:txbxContent>
                            <w:p w14:paraId="6633ED55"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wps:txbx>
                        <wps:bodyPr rot="0" vert="horz" wrap="square" lIns="91440" tIns="45720" rIns="91440" bIns="45720" anchor="ctr" anchorCtr="0" upright="1">
                          <a:noAutofit/>
                        </wps:bodyPr>
                      </wps:wsp>
                      <wps:wsp>
                        <wps:cNvPr id="7" name="Gebogen verbindingslijn 70"/>
                        <wps:cNvCnPr>
                          <a:cxnSpLocks noChangeShapeType="1"/>
                        </wps:cNvCnPr>
                        <wps:spPr bwMode="auto">
                          <a:xfrm rot="16200000" flipH="1">
                            <a:off x="859415" y="780115"/>
                            <a:ext cx="76201" cy="719012"/>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8" name="Gebogen verbindingslijn 71"/>
                        <wps:cNvCnPr>
                          <a:cxnSpLocks noChangeShapeType="1"/>
                        </wps:cNvCnPr>
                        <wps:spPr bwMode="auto">
                          <a:xfrm rot="5400000" flipH="1" flipV="1">
                            <a:off x="869515" y="847617"/>
                            <a:ext cx="56101" cy="718912"/>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9" name="Afgeronde rechthoek 73"/>
                        <wps:cNvSpPr>
                          <a:spLocks noChangeArrowheads="1"/>
                        </wps:cNvSpPr>
                        <wps:spPr bwMode="auto">
                          <a:xfrm>
                            <a:off x="2562144" y="36001"/>
                            <a:ext cx="970917" cy="533410"/>
                          </a:xfrm>
                          <a:prstGeom prst="roundRect">
                            <a:avLst>
                              <a:gd name="adj" fmla="val 16667"/>
                            </a:avLst>
                          </a:prstGeom>
                          <a:solidFill>
                            <a:srgbClr val="4F81BD"/>
                          </a:solidFill>
                          <a:ln w="25400">
                            <a:solidFill>
                              <a:srgbClr val="385D8A"/>
                            </a:solidFill>
                            <a:round/>
                            <a:headEnd/>
                            <a:tailEnd/>
                          </a:ln>
                        </wps:spPr>
                        <wps:txbx>
                          <w:txbxContent>
                            <w:p w14:paraId="28AF496C" w14:textId="77777777" w:rsidR="00972546" w:rsidRDefault="00972546" w:rsidP="00E76739">
                              <w:pPr>
                                <w:pStyle w:val="NormalWeb"/>
                                <w:spacing w:after="0"/>
                                <w:jc w:val="center"/>
                                <w:rPr>
                                  <w:sz w:val="18"/>
                                  <w:szCs w:val="18"/>
                                </w:rPr>
                              </w:pPr>
                              <w:r>
                                <w:rPr>
                                  <w:rFonts w:ascii="Calibri" w:hAnsi="Calibri" w:cs="Calibri"/>
                                  <w:color w:val="FFFFFF"/>
                                  <w:sz w:val="18"/>
                                  <w:szCs w:val="18"/>
                                </w:rPr>
                                <w:t>Economic Crimes Bureau</w:t>
                              </w:r>
                            </w:p>
                          </w:txbxContent>
                        </wps:txbx>
                        <wps:bodyPr rot="0" vert="horz" wrap="square" lIns="91440" tIns="45720" rIns="91440" bIns="45720" anchor="ctr" anchorCtr="0" upright="1">
                          <a:noAutofit/>
                        </wps:bodyPr>
                      </wps:wsp>
                      <wps:wsp>
                        <wps:cNvPr id="10" name="Afgeronde rechthoek 75"/>
                        <wps:cNvSpPr>
                          <a:spLocks noChangeArrowheads="1"/>
                        </wps:cNvSpPr>
                        <wps:spPr bwMode="auto">
                          <a:xfrm>
                            <a:off x="2562044" y="919317"/>
                            <a:ext cx="1031418" cy="575111"/>
                          </a:xfrm>
                          <a:prstGeom prst="roundRect">
                            <a:avLst>
                              <a:gd name="adj" fmla="val 16667"/>
                            </a:avLst>
                          </a:prstGeom>
                          <a:noFill/>
                          <a:ln w="25400">
                            <a:solidFill>
                              <a:srgbClr val="385D8A"/>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155702B" w14:textId="77777777" w:rsidR="00972546" w:rsidRDefault="00972546" w:rsidP="00E76739">
                              <w:pPr>
                                <w:pStyle w:val="NormalWeb"/>
                                <w:spacing w:after="0"/>
                                <w:jc w:val="center"/>
                                <w:rPr>
                                  <w:rFonts w:ascii="Calibri" w:hAnsi="Calibri" w:cs="Calibri"/>
                                  <w:sz w:val="22"/>
                                  <w:szCs w:val="22"/>
                                </w:rPr>
                              </w:pPr>
                              <w:r>
                                <w:rPr>
                                  <w:rFonts w:ascii="Calibri" w:hAnsi="Calibri" w:cs="Calibri"/>
                                  <w:sz w:val="22"/>
                                  <w:szCs w:val="22"/>
                                </w:rPr>
                                <w:t>National Police Board</w:t>
                              </w:r>
                            </w:p>
                          </w:txbxContent>
                        </wps:txbx>
                        <wps:bodyPr rot="0" vert="horz" wrap="square" lIns="91440" tIns="45720" rIns="91440" bIns="45720" anchor="ctr" anchorCtr="0" upright="1">
                          <a:noAutofit/>
                        </wps:bodyPr>
                      </wps:wsp>
                      <wps:wsp>
                        <wps:cNvPr id="11" name="Rechte verbindingslijn met pijl 76"/>
                        <wps:cNvCnPr>
                          <a:cxnSpLocks noChangeShapeType="1"/>
                        </wps:cNvCnPr>
                        <wps:spPr bwMode="auto">
                          <a:xfrm>
                            <a:off x="2228738" y="1186222"/>
                            <a:ext cx="333506"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2" name="Rechte verbindingslijn met pijl 77"/>
                        <wps:cNvCnPr>
                          <a:cxnSpLocks noChangeShapeType="1"/>
                        </wps:cNvCnPr>
                        <wps:spPr bwMode="auto">
                          <a:xfrm>
                            <a:off x="3077753" y="1514629"/>
                            <a:ext cx="0" cy="332006"/>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3" name="Gebogen verbindingslijn 84"/>
                        <wps:cNvCnPr>
                          <a:cxnSpLocks noChangeShapeType="1"/>
                        </wps:cNvCnPr>
                        <wps:spPr bwMode="auto">
                          <a:xfrm flipV="1">
                            <a:off x="3593462" y="1453127"/>
                            <a:ext cx="909116" cy="660312"/>
                          </a:xfrm>
                          <a:prstGeom prst="bentConnector2">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14" name="Gebogen verbindingslijn 85"/>
                        <wps:cNvCnPr>
                          <a:cxnSpLocks noChangeShapeType="1"/>
                        </wps:cNvCnPr>
                        <wps:spPr bwMode="auto">
                          <a:xfrm>
                            <a:off x="3533061" y="302706"/>
                            <a:ext cx="969517" cy="617012"/>
                          </a:xfrm>
                          <a:prstGeom prst="bentConnector2">
                            <a:avLst/>
                          </a:prstGeom>
                          <a:noFill/>
                          <a:ln w="19050">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15" name="Gebogen verbindingslijn 86"/>
                        <wps:cNvCnPr>
                          <a:cxnSpLocks noChangeShapeType="1"/>
                        </wps:cNvCnPr>
                        <wps:spPr bwMode="auto">
                          <a:xfrm rot="5400000" flipH="1" flipV="1">
                            <a:off x="1844131" y="201504"/>
                            <a:ext cx="616812" cy="819214"/>
                          </a:xfrm>
                          <a:prstGeom prst="bentConnector2">
                            <a:avLst/>
                          </a:prstGeom>
                          <a:noFill/>
                          <a:ln w="19050">
                            <a:solidFill>
                              <a:srgbClr val="4579B8"/>
                            </a:solidFill>
                            <a:miter lim="800000"/>
                            <a:headEnd/>
                            <a:tailEnd type="arrow" w="med" len="med"/>
                          </a:ln>
                          <a:extLst>
                            <a:ext uri="{909E8E84-426E-40dd-AFC4-6F175D3DCCD1}">
                              <a14:hiddenFill xmlns:a14="http://schemas.microsoft.com/office/drawing/2010/main">
                                <a:noFill/>
                              </a14:hiddenFill>
                            </a:ext>
                          </a:extLst>
                        </wps:spPr>
                        <wps:bodyPr/>
                      </wps:wsp>
                      <wps:wsp>
                        <wps:cNvPr id="16" name="Gebogen verbindingslijn 24"/>
                        <wps:cNvCnPr>
                          <a:cxnSpLocks noChangeShapeType="1"/>
                        </wps:cNvCnPr>
                        <wps:spPr bwMode="auto">
                          <a:xfrm rot="10800000">
                            <a:off x="1742930" y="1452927"/>
                            <a:ext cx="878915" cy="660512"/>
                          </a:xfrm>
                          <a:prstGeom prst="bentConnector2">
                            <a:avLst/>
                          </a:prstGeom>
                          <a:noFill/>
                          <a:ln w="9525">
                            <a:solidFill>
                              <a:srgbClr val="FF0000"/>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17" name="Rechte verbindingslijn 39"/>
                        <wps:cNvCnPr/>
                        <wps:spPr bwMode="auto">
                          <a:xfrm flipH="1">
                            <a:off x="1943134" y="447608"/>
                            <a:ext cx="618811"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8" name="Rechte verbindingslijn met pijl 40"/>
                        <wps:cNvCnPr>
                          <a:cxnSpLocks noChangeShapeType="1"/>
                        </wps:cNvCnPr>
                        <wps:spPr bwMode="auto">
                          <a:xfrm>
                            <a:off x="1943034" y="447608"/>
                            <a:ext cx="0" cy="471609"/>
                          </a:xfrm>
                          <a:prstGeom prst="straightConnector1">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9" name="Tekstvak 29"/>
                        <wps:cNvSpPr txBox="1">
                          <a:spLocks noChangeArrowheads="1"/>
                        </wps:cNvSpPr>
                        <wps:spPr bwMode="auto">
                          <a:xfrm>
                            <a:off x="1943034" y="447608"/>
                            <a:ext cx="837614" cy="27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448F5B"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wps:txbx>
                        <wps:bodyPr rot="0" vert="horz" wrap="square" lIns="91440" tIns="45720" rIns="91440" bIns="45720" anchor="t" anchorCtr="0" upright="1">
                          <a:noAutofit/>
                        </wps:bodyPr>
                      </wps:wsp>
                      <wps:wsp>
                        <wps:cNvPr id="20" name="Tekstvak 29"/>
                        <wps:cNvSpPr txBox="1">
                          <a:spLocks noChangeArrowheads="1"/>
                        </wps:cNvSpPr>
                        <wps:spPr bwMode="auto">
                          <a:xfrm>
                            <a:off x="1760330" y="1912436"/>
                            <a:ext cx="836914" cy="27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3F4307"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wps:txbx>
                        <wps:bodyPr rot="0" vert="horz" wrap="square" lIns="91440" tIns="45720" rIns="91440" bIns="45720" anchor="t" anchorCtr="0" upright="1">
                          <a:noAutofit/>
                        </wps:bodyPr>
                      </wps:wsp>
                    </wpc:wpc>
                  </a:graphicData>
                </a:graphic>
              </wp:inline>
            </w:drawing>
          </mc:Choice>
          <mc:Fallback>
            <w:pict>
              <v:group id="Papier 83" o:spid="_x0000_s1136" style="width:410.7pt;height:187.35pt;mso-position-horizontal-relative:char;mso-position-vertical-relative:line" coordsize="5215890,2379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Rb1xMIAADDQQAADgAAAGRycy9lMm9Eb2MueG1s7Fxdc5tGFH3vTP8Dw7siFpYvTeSMLVltZ9I2&#10;06R9XwGSSBBQwJbcTv97z+4iLGSD7MTCdotnLIGAZZc99+vcu7x9t11HynWQ5WESj1XyRlOVIPYS&#10;P4yXY/X3T7OBoyp5wWKfRUkcjNWbIFffnX3/3dtNOgr0ZJVEfpApaCTOR5t0rK6KIh0Nh7m3CtYs&#10;f5OkQYyDiyRbswK72XLoZ2yD1tfRUNc0a7hJMj/NEi/Ic/w6lQfVM9H+YhF4xa+LRR4USjRW0bdC&#10;fGbic84/h2dv2WiZsXQVemU32Ff0Ys3CGDetmpqygilXWXinqXXoZUmeLIo3XrIeJotF6AViDBgN&#10;0Q5GM2HxNcvFYDw8nV0HsfWE7c6XvN9xMgujCE9jiNZH/Df+vcH8BPhxk2J28rSap/zb7v9xxdJA&#10;DCsfeb9cf8iU0Ad4VCVma2DkfLEMsiT2AyULvFWxSoIvikX5VPF+4IKP6YeMdzpP3yfel1yJk8mK&#10;xcvgPMuSzSpgPvpH+PkYzN4FfCfHpcp883Pi40bsqkjErG0X2Zo3iPlQtrhWcyyduKpyM1ZtUzeI&#10;uDkbBdtC8XBctwyLUFNVPJzgGLZLLHE3Nto1lGZ58UOQrBW+MVaz5Cr2fwMYxd3Y9fu8EGDxyxEz&#10;/7OqLNYRoHfNIoVYlmWXLZYnD9lo12ZtutgoipUNumRSTROt50kU+nwyxRPKlvNJlClodawajjl1&#10;zst2a6eJ/uF5sRF/epexL7YLFkZyG3ePYn4YT6DsO38WAuB/u5p76Vw6dEB163JANd8fnM8mdGDN&#10;iG1OjelkMiX/8K4ROlqFvh/EvHc7YSP0YVgqxV6KSSVutVHk+4Odib+7gx3WuwGMiFHtvsXoBGw4&#10;UiTiiu18KxBKKxDOE/8GQMoSqVCgALGxSrK/VGUDZTJW8z+vWBaoSvRTDDC6hFKufcQONW0dO9n+&#10;kfn+ERZ7aGqsekWmKnJnUkiddZVm4XKFexEx13FyDggvwmKHddmvEviQ2I5EV28VXZPPQk0STye6&#10;1LY0KBLIpWm5lAgtcCu4rkMIsaXcmoZBiTAAQEBXctuMVzpzyMX0Ll47FfBG4FdT2ANfWpTSZhmt&#10;wBdWoXPgE90w8c+h1CN/9EDT1oj8ag575NeQT1uRL7yXjpBPdBhUHSYISt8lrgkFX4e+Tfhvwlnr&#10;lf7ojlfXCP1qEnvo16APx78lUHE69HZ0hCkOD0QAfWxYtiEM9Z7at4nVY785omnEfjWLPfZr2Lda&#10;se92iH2qEYBbBulQ+/Zdta+5PfS/AvrVJPbQr0EfLoRU+z8E82QZxJz2nIcxpzrzKPwcK7aIJkuv&#10;ZxJLjsrbxh8PaCpBf326ScFA1VgqeQm/vpmlkpQDscB94g+kURSmP+7ogJK+ckxEvtIo2I5GsFnz&#10;h2xcjBCZc1c2cTWi88PNMfA8iItJEsdgr5JMF7SD4KTkRa2klGvqprigJew9ty8vLsoe1E5bhwWY&#10;4Shcg2KTgxWjuIegUgrxLBln/8C/jNV14IN5CUBI8y3Z0ZfJX93Sro+npaR48tFxyHRH9oDRPyIH&#10;AtVdyAEnPetiIATij0OBsBAVSIFwQBAdWgrTIrcC4bi9QDwjofsaBQI+SHM8YAsiphSGUycudBMB&#10;AVhqHg8YlgZUC525y1u4du8SteU3mqIBszLsvUtUc4nAn7dBv2KNO8jZcehrJfQRDhiHSp5oSOMR&#10;2C7u95i2iURAu9/z0nN23POasnwlc3v5Tc53pLw/kPMUNMH/OJ1nVn5KL9Z1sa5S8chZr4rgTqSz&#10;RkFFGn6OFLuixyHiJwp5eBqjjGxA8zq2ASHmfBdBkh60b83CGYZhauAouJAfye3lRcZ4LrWKbWRK&#10;9SljG9N2LwSRhOiqFtu0CmgfznQazsDdL23YUbBXhHgnYDc027ZNZBg52E1CLV0wM7fkLowvx7lh&#10;8EKodmPWg/3pa09eY6hCqoR1E4nlVDUupwP5vUG6YboGMC7hTk2D6Id5PAQvKLQSmLcsuHPPS1w1&#10;KveeuEK82VZP9VzEFcr4jjBXzn7Ecnp3xkA6WrNkuZKh6bbU4rcK3uW8VZm5Bmt1SqoWRDCiXO5q&#10;1RyVWkkdCtca/Jke8i8V8lWuulHfd+DBy6TFA8la5LEpMaRQIFFhasIg3QqFRSyH+2zc9XGIC76r&#10;3fX5hvxFLxR7Rer3F+C+SieoSmI3CYXehRMkiodRai5TGHtRLrGp7hrw7rnjT03dPfSEHBtZCkg2&#10;FwF4Qqj2O5kIPCCFN5uJHIxMs9WsR52i8it+qjcXL9VcVDnuhljYqIoDyugAs34kYX1fhpq41CCG&#10;zFNQXrItWJJ9He+gUlsC/AiNE4UxX0rCRk9I3Dwe0a2EjpSMPgEtVnQ9agFUw0KhKgPdgNKKnsSi&#10;ixKgpwtm9xU3YK21wLokbCjqljQhSM1VF6cnbJ4Y5D1r2S1rWSWdPwVf8uKafVEkPbiXaVaK7UXC&#10;l7PJuO6gCunJFssdAT3Wx2GxnNTluk0RZ7Y7K1ltmZzUnY1VRlz49lzQ//4qNWkjy4V3RKfahe4O&#10;ZpZjD+iCmgNk+J2BRtwL19KoS6ez+sK79zCW377wjpdYWcizHKELhF+7s941v/Dh/p+Y/mrdIO/+&#10;jljafbcu2DOFY8xFopMMX/FalutVaftnVx7w/cCByVAHlVfUEHTErSfoGBYWT1baw+i1x96C3kev&#10;ce21x2OW+yL3VnqPr0V7oIBJvChAKMfyrQb8VQT7+9jef/fC2b8AAAD//wMAUEsDBBQABgAIAAAA&#10;IQAKxHkL3QAAAAUBAAAPAAAAZHJzL2Rvd25yZXYueG1sTI9Ba8JAEIXvhf6HZQq91U3UqqTZiEjb&#10;kxTUQultzI5JMDsbsmsS/71rL/Uy8HiP975Jl4OpRUetqywriEcRCOLc6ooLBd/7j5cFCOeRNdaW&#10;ScGFHCyzx4cUE2173lK384UIJewSVFB63yRSurwkg25kG+LgHW1r0AfZFlK32IdyU8txFM2kwYrD&#10;QokNrUvKT7uzUfDZY7+axO/d5nRcX373r18/m5iUen4aVm8gPA3+Pww3/IAOWWA62DNrJ2oF4RH/&#10;d4O3GMdTEAcFk/l0DjJL5T19dgUAAP//AwBQSwECLQAUAAYACAAAACEA5JnDwPsAAADhAQAAEwAA&#10;AAAAAAAAAAAAAAAAAAAAW0NvbnRlbnRfVHlwZXNdLnhtbFBLAQItABQABgAIAAAAIQAjsmrh1wAA&#10;AJQBAAALAAAAAAAAAAAAAAAAACwBAABfcmVscy8ucmVsc1BLAQItABQABgAIAAAAIQBrhFvXEwgA&#10;AMNBAAAOAAAAAAAAAAAAAAAAACwCAABkcnMvZTJvRG9jLnhtbFBLAQItABQABgAIAAAAIQAKxHkL&#10;3QAAAAUBAAAPAAAAAAAAAAAAAAAAAGsKAABkcnMvZG93bnJldi54bWxQSwUGAAAAAAQABADzAAAA&#10;dQsAAAAA&#10;">
                <v:shape id="_x0000_s1137" type="#_x0000_t75" style="position:absolute;width:5215890;height:2379345;visibility:visible;mso-wrap-style:square">
                  <v:fill o:detectmouseclick="t"/>
                  <v:path o:connecttype="none"/>
                </v:shape>
                <v:roundrect id="Afgeronde rechthoek 64" o:spid="_x0000_s1138" style="position:absolute;left:1086219;top:752314;width:2636145;height:83791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HUKvwAA&#10;ANoAAAAPAAAAZHJzL2Rvd25yZXYueG1sRE/bisIwEH0X/Icwgm+aqrAr1SgiCuIKunU/YGjGtthM&#10;ShPb+vdGEPZpOJzrLNedKUVDtSssK5iMIxDEqdUFZwr+rvvRHITzyBpLy6TgSQ7Wq35vibG2Lf9S&#10;k/hMhBB2MSrIva9iKV2ak0E3thVx4G62NugDrDOpa2xDuCnlNIq+pMGCQ0OOFW1zSu/Jwyg4zO4/&#10;p7Y5H6XDYlfNvy/n5HpRajjoNgsQnjr/L/64DzrMh/cr7ytX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ewdQq/AAAA2gAAAA8AAAAAAAAAAAAAAAAAlwIAAGRycy9kb3ducmV2&#10;LnhtbFBLBQYAAAAABAAEAPUAAACDAwAAAAA=&#10;" filled="f" strokecolor="#385d8a" strokeweight="2pt">
                  <v:textbox>
                    <w:txbxContent>
                      <w:p w14:paraId="26616C6C" w14:textId="77777777" w:rsidR="00972546" w:rsidRDefault="00972546" w:rsidP="00E76739">
                        <w:pPr>
                          <w:pStyle w:val="NormalWeb"/>
                          <w:spacing w:after="0"/>
                          <w:jc w:val="right"/>
                          <w:rPr>
                            <w:sz w:val="22"/>
                            <w:szCs w:val="22"/>
                          </w:rPr>
                        </w:pPr>
                      </w:p>
                    </w:txbxContent>
                  </v:textbox>
                </v:roundrect>
                <v:roundrect id="Afgeronde rechthoek 65" o:spid="_x0000_s1139" style="position:absolute;left:47601;top:569411;width:981117;height:5334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mr1wwAA&#10;ANoAAAAPAAAAZHJzL2Rvd25yZXYueG1sRI9Li8JAEITvC/6HoQUvyzrRBXFjRgmC4MFFfFy8tZnO&#10;YzfTEzKjxn/vCILHoqq+opJFZ2pxpdZVlhWMhhEI4szqigsFx8PqawrCeWSNtWVScCcHi3nvI8FY&#10;2xvv6Lr3hQgQdjEqKL1vYildVpJBN7QNcfBy2xr0QbaF1C3eAtzUchxFE2mw4rBQYkPLkrL//cUo&#10;+EX+qXx6Wm/kZ3r4W33LbXbOlRr0u3QGwlPn3+FXe60VjOF5JdwA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Amr1wwAAANoAAAAPAAAAAAAAAAAAAAAAAJcCAABkcnMvZG93&#10;bnJldi54bWxQSwUGAAAAAAQABAD1AAAAhwMAAAAA&#10;" fillcolor="#4f81bd" strokecolor="#385d8a" strokeweight="2pt">
                  <v:textbox>
                    <w:txbxContent>
                      <w:p w14:paraId="6285B11D" w14:textId="35A07CC7" w:rsidR="00972546" w:rsidRDefault="00972546" w:rsidP="00E76739">
                        <w:pPr>
                          <w:jc w:val="center"/>
                          <w:rPr>
                            <w:color w:val="FFFFFF"/>
                          </w:rPr>
                        </w:pPr>
                        <w:r>
                          <w:rPr>
                            <w:color w:val="FFFFFF"/>
                          </w:rPr>
                          <w:t>Supervised Entities</w:t>
                        </w:r>
                      </w:p>
                    </w:txbxContent>
                  </v:textbox>
                </v:roundrect>
                <v:roundrect id="Afgeronde rechthoek 66" o:spid="_x0000_s1140" style="position:absolute;left:47601;top:1235123;width:981117;height:5334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s9uwwAA&#10;ANoAAAAPAAAAZHJzL2Rvd25yZXYueG1sRI9Ba8JAFITvhf6H5RV6KbqpgaLRVUJB8FCRxl56e2af&#10;STT7NuyuGv+9Kwgeh5n5hpktetOKMznfWFbwOUxAEJdWN1wp+NsuB2MQPiBrbC2Tgit5WMxfX2aY&#10;aXvhXzoXoRIRwj5DBXUIXSalL2sy6Ie2I47e3jqDIUpXSe3wEuGmlaMk+ZIGG44LNXb0XVN5LE5G&#10;wRp50oT8f/UjP/LtYZnKTbnbK/X+1udTEIH68Aw/2iutIIX7lXgD5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Ts9uwwAAANoAAAAPAAAAAAAAAAAAAAAAAJcCAABkcnMvZG93&#10;bnJldi54bWxQSwUGAAAAAAQABAD1AAAAhwMAAAAA&#10;" fillcolor="#4f81bd" strokecolor="#385d8a" strokeweight="2pt">
                  <v:textbox>
                    <w:txbxContent>
                      <w:p w14:paraId="1E11D008" w14:textId="77777777" w:rsidR="00972546" w:rsidRDefault="00972546" w:rsidP="00E76739">
                        <w:pPr>
                          <w:pStyle w:val="NormalWeb"/>
                          <w:spacing w:after="0"/>
                          <w:jc w:val="center"/>
                          <w:rPr>
                            <w:rFonts w:ascii="Calibri" w:hAnsi="Calibri" w:cs="Calibri"/>
                            <w:color w:val="FFFFFF"/>
                          </w:rPr>
                        </w:pPr>
                        <w:r>
                          <w:rPr>
                            <w:rFonts w:ascii="Calibri" w:hAnsi="Calibri" w:cs="Calibri"/>
                            <w:color w:val="FFFFFF"/>
                            <w:sz w:val="22"/>
                            <w:szCs w:val="22"/>
                          </w:rPr>
                          <w:t>Anyone</w:t>
                        </w:r>
                      </w:p>
                    </w:txbxContent>
                  </v:textbox>
                </v:roundrect>
                <v:roundrect id="Afgeronde rechthoek 67" o:spid="_x0000_s1141" style="position:absolute;left:1257222;top:919517;width:971517;height:5334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1cawwAA&#10;ANoAAAAPAAAAZHJzL2Rvd25yZXYueG1sRI9Bi8IwFITvwv6H8AQvi6arImvXKEUQPChi3Yu3Z/Ns&#10;uzYvpYla/70RFjwOM/MNM1u0phI3alxpWcHXIAJBnFldcq7g97Dqf4NwHlljZZkUPMjBYv7RmWGs&#10;7Z33dEt9LgKEXYwKCu/rWEqXFWTQDWxNHLyzbQz6IJtc6gbvAW4qOYyiiTRYclgosKZlQdklvRoF&#10;W+Rp6ZPjeiM/k8PfaiR32emsVK/bJj8gPLX+Hf5vr7WCMbyuhBsg5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p1cawwAAANoAAAAPAAAAAAAAAAAAAAAAAJcCAABkcnMvZG93&#10;bnJldi54bWxQSwUGAAAAAAQABAD1AAAAhwMAAAAA&#10;" fillcolor="#4f81bd" strokecolor="#385d8a" strokeweight="2pt">
                  <v:textbox>
                    <w:txbxContent>
                      <w:p w14:paraId="7425A4C2" w14:textId="77777777" w:rsidR="00972546" w:rsidRDefault="00972546" w:rsidP="00E76739">
                        <w:pPr>
                          <w:pStyle w:val="NormalWeb"/>
                          <w:spacing w:after="0"/>
                          <w:jc w:val="center"/>
                          <w:rPr>
                            <w:rFonts w:ascii="Calibri" w:hAnsi="Calibri" w:cs="Calibri"/>
                            <w:color w:val="FFFFFF"/>
                            <w:sz w:val="22"/>
                            <w:szCs w:val="22"/>
                          </w:rPr>
                        </w:pPr>
                        <w:r>
                          <w:rPr>
                            <w:rFonts w:ascii="Calibri" w:hAnsi="Calibri" w:cs="Calibri"/>
                            <w:color w:val="FFFFFF"/>
                            <w:sz w:val="22"/>
                            <w:szCs w:val="22"/>
                          </w:rPr>
                          <w:t>FIU</w:t>
                        </w:r>
                      </w:p>
                    </w:txbxContent>
                  </v:textbox>
                </v:roundrect>
                <v:roundrect id="Afgeronde rechthoek 68" o:spid="_x0000_s1142" style="position:absolute;left:2621845;top:1846735;width:971617;height:5334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6/KBwwAA&#10;ANoAAAAPAAAAZHJzL2Rvd25yZXYueG1sRI9Bi8IwFITvwv6H8AQvi6arKGvXKEUQPChi3Yu3Z/Ns&#10;uzYvpYla/70RFjwOM/MNM1u0phI3alxpWcHXIAJBnFldcq7g97Dqf4NwHlljZZkUPMjBYv7RmWGs&#10;7Z33dEt9LgKEXYwKCu/rWEqXFWTQDWxNHLyzbQz6IJtc6gbvAW4qOYyiiTRYclgosKZlQdklvRoF&#10;W+Rp6ZPjeiM/k8PfaiR32emsVK/bJj8gPLX+Hf5vr7WCMbyuhBsg5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6/KBwwAAANoAAAAPAAAAAAAAAAAAAAAAAJcCAABkcnMvZG93&#10;bnJldi54bWxQSwUGAAAAAAQABAD1AAAAhwMAAAAA&#10;" fillcolor="#4f81bd" strokecolor="#385d8a" strokeweight="2pt">
                  <v:textbox>
                    <w:txbxContent>
                      <w:p w14:paraId="0F8C553C"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PPO</w:t>
                        </w:r>
                      </w:p>
                    </w:txbxContent>
                  </v:textbox>
                </v:roundrect>
                <v:roundrect id="Afgeronde rechthoek 69" o:spid="_x0000_s1143" style="position:absolute;left:4017169;top:919717;width:970917;height:5334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Wz2wwAA&#10;ANoAAAAPAAAAZHJzL2Rvd25yZXYueG1sRI9Ba8JAFITvhf6H5RW8FLOpgmjqJoSC4EGRml56e80+&#10;k2j2bciuGv+9KxQ8DjPzDbPMBtOKC/WusazgI4pBEJdWN1wp+ClW4zkI55E1tpZJwY0cZOnryxIT&#10;ba/8TZe9r0SAsEtQQe19l0jpypoMush2xME72N6gD7KvpO7xGuCmlZM4nkmDDYeFGjv6qqk87c9G&#10;wRZ50fj8d72R73lxXE3lrvw7KDV6G/JPEJ4G/wz/t9dawQweV8INk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Wz2wwAAANoAAAAPAAAAAAAAAAAAAAAAAJcCAABkcnMvZG93&#10;bnJldi54bWxQSwUGAAAAAAQABAD1AAAAhwMAAAAA&#10;" fillcolor="#4f81bd" strokecolor="#385d8a" strokeweight="2pt">
                  <v:textbox>
                    <w:txbxContent>
                      <w:p w14:paraId="6633ED55" w14:textId="77777777" w:rsidR="00972546" w:rsidRDefault="00972546" w:rsidP="00E76739">
                        <w:pPr>
                          <w:pStyle w:val="NormalWeb"/>
                          <w:spacing w:after="0"/>
                          <w:jc w:val="center"/>
                          <w:rPr>
                            <w:rFonts w:ascii="Calibri" w:hAnsi="Calibri" w:cs="Calibri"/>
                          </w:rPr>
                        </w:pPr>
                        <w:r>
                          <w:rPr>
                            <w:rFonts w:ascii="Calibri" w:hAnsi="Calibri" w:cs="Calibri"/>
                            <w:color w:val="FFFFFF"/>
                            <w:sz w:val="22"/>
                            <w:szCs w:val="22"/>
                          </w:rPr>
                          <w:t>Court</w:t>
                        </w:r>
                      </w:p>
                    </w:txbxContent>
                  </v:textbox>
                </v:roundrect>
                <v:shape id="Gebogen verbindingslijn 70" o:spid="_x0000_s1144" type="#_x0000_t33" style="position:absolute;left:859415;top:780115;width:76201;height:719012;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T19MQAAADaAAAADwAAAGRycy9kb3ducmV2LnhtbESPQWvCQBSE7wX/w/KE3urGIFVSN0Ea&#10;WoRCIbFFj4/saxKSfRuyq8Z/3y0UPA4z8w2zzSbTiwuNrrWsYLmIQBBXVrdcK/g6vD1tQDiPrLG3&#10;TApu5CBLZw9bTLS9ckGX0tciQNglqKDxfkikdFVDBt3CDsTB+7GjQR/kWEs94jXATS/jKHqWBlsO&#10;Cw0O9NpQ1ZVno+Dbdef3E3Yf+tiVn6t4lRfrIlfqcT7tXkB4mvw9/N/eawVr+LsSboBM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VPX0xAAAANoAAAAPAAAAAAAAAAAA&#10;AAAAAKECAABkcnMvZG93bnJldi54bWxQSwUGAAAAAAQABAD5AAAAkgMAAAAA&#10;" strokecolor="#4a7ebb">
                  <v:stroke endarrow="open"/>
                </v:shape>
                <v:shape id="Gebogen verbindingslijn 71" o:spid="_x0000_s1145" type="#_x0000_t33" style="position:absolute;left:869515;top:847617;width:56101;height:718912;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nd774AAADaAAAADwAAAGRycy9kb3ducmV2LnhtbERPz2vCMBS+D/wfwhvsNtN5GNo1igiK&#10;x1UFPT6b1zaseSlJrN1/bw6Cx4/vd7EabScG8sE4VvA1zUAQV04bbhScjtvPOYgQkTV2jknBPwVY&#10;LSdvBeba3bmk4RAbkUI45KigjbHPpQxVSxbD1PXEiaudtxgT9I3UHu8p3HZylmXf0qLh1NBiT5uW&#10;qr/DzSq4aXOOZrcoazdeF+W+k/r3Mij18T6uf0BEGuNL/HTvtYK0NV1JN0Au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ved3vvgAAANoAAAAPAAAAAAAAAAAAAAAAAKEC&#10;AABkcnMvZG93bnJldi54bWxQSwUGAAAAAAQABAD5AAAAjAMAAAAA&#10;" strokecolor="#4a7ebb">
                  <v:stroke endarrow="open"/>
                </v:shape>
                <v:roundrect id="Afgeronde rechthoek 73" o:spid="_x0000_s1146" style="position:absolute;left:2562144;top:36001;width:970917;height:5334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viExAAA&#10;ANoAAAAPAAAAZHJzL2Rvd25yZXYueG1sRI9Pa8JAFMTvQr/D8gq9iNlYodToKqEgeFCksZfentmX&#10;Pzb7NmRXE7+9Kwg9DjPzG2a5HkwjrtS52rKCaRSDIM6trrlU8HPcTD5BOI+ssbFMCm7kYL16GS0x&#10;0bbnb7pmvhQBwi5BBZX3bSKlyysy6CLbEgevsJ1BH2RXSt1hH+Cmke9x/CEN1hwWKmzpq6L8L7sY&#10;BXvkee3T3+1OjtPjeTOTh/xUKPX2OqQLEJ4G/x9+trdawRweV8IN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b4hMQAAADaAAAADwAAAAAAAAAAAAAAAACXAgAAZHJzL2Rv&#10;d25yZXYueG1sUEsFBgAAAAAEAAQA9QAAAIgDAAAAAA==&#10;" fillcolor="#4f81bd" strokecolor="#385d8a" strokeweight="2pt">
                  <v:textbox>
                    <w:txbxContent>
                      <w:p w14:paraId="28AF496C" w14:textId="77777777" w:rsidR="00972546" w:rsidRDefault="00972546" w:rsidP="00E76739">
                        <w:pPr>
                          <w:pStyle w:val="NormalWeb"/>
                          <w:spacing w:after="0"/>
                          <w:jc w:val="center"/>
                          <w:rPr>
                            <w:sz w:val="18"/>
                            <w:szCs w:val="18"/>
                          </w:rPr>
                        </w:pPr>
                        <w:r>
                          <w:rPr>
                            <w:rFonts w:ascii="Calibri" w:hAnsi="Calibri" w:cs="Calibri"/>
                            <w:color w:val="FFFFFF"/>
                            <w:sz w:val="18"/>
                            <w:szCs w:val="18"/>
                          </w:rPr>
                          <w:t>Economic Crimes Bureau</w:t>
                        </w:r>
                      </w:p>
                    </w:txbxContent>
                  </v:textbox>
                </v:roundrect>
                <v:roundrect id="Afgeronde rechthoek 75" o:spid="_x0000_s1147" style="position:absolute;left:2562044;top:919317;width:1031418;height:57511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pKowQAA&#10;ANsAAAAPAAAAZHJzL2Rvd25yZXYueG1sRI9Ba8JAEIXvgv9hGaE3s2lLJURXqUKp16rgdciO2Wh2&#10;NmQ3mv77zqHgbYb35r1vVpvRt+pOfWwCG3jNclDEVbAN1wZOx695ASomZIttYDLwSxE26+lkhaUN&#10;D/6h+yHVSkI4lmjApdSVWsfKkceYhY5YtEvoPSZZ+1rbHh8S7lv9lucL7bFhaXDY0c5RdTsM3gDm&#10;x/37+coucByK5mM7Ft+DM+ZlNn4uQSUa09P8f723gi/08osMo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QaSqMEAAADbAAAADwAAAAAAAAAAAAAAAACXAgAAZHJzL2Rvd25y&#10;ZXYueG1sUEsFBgAAAAAEAAQA9QAAAIUDAAAAAA==&#10;" filled="f" strokecolor="#385d8a" strokeweight="2pt">
                  <v:stroke dashstyle="3 1"/>
                  <v:textbox>
                    <w:txbxContent>
                      <w:p w14:paraId="1155702B" w14:textId="77777777" w:rsidR="00972546" w:rsidRDefault="00972546" w:rsidP="00E76739">
                        <w:pPr>
                          <w:pStyle w:val="NormalWeb"/>
                          <w:spacing w:after="0"/>
                          <w:jc w:val="center"/>
                          <w:rPr>
                            <w:rFonts w:ascii="Calibri" w:hAnsi="Calibri" w:cs="Calibri"/>
                            <w:sz w:val="22"/>
                            <w:szCs w:val="22"/>
                          </w:rPr>
                        </w:pPr>
                        <w:r>
                          <w:rPr>
                            <w:rFonts w:ascii="Calibri" w:hAnsi="Calibri" w:cs="Calibri"/>
                            <w:sz w:val="22"/>
                            <w:szCs w:val="22"/>
                          </w:rPr>
                          <w:t>National Police Board</w:t>
                        </w:r>
                      </w:p>
                    </w:txbxContent>
                  </v:textbox>
                </v:roundrect>
                <v:shape id="Rechte verbindingslijn met pijl 76" o:spid="_x0000_s1148" type="#_x0000_t32" style="position:absolute;left:2228738;top:1186222;width:33350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wYfsAAAADbAAAADwAAAGRycy9kb3ducmV2LnhtbERPTWsCMRC9F/wPYQRvNVGkratR1EUQ&#10;PNWK52EzblY3k2UTdf33jVDobR7vc+bLztXiTm2oPGsYDRUI4sKbiksNx5/t+xeIEJEN1p5Jw5MC&#10;LBe9tzlmxj/4m+6HWIoUwiFDDTbGJpMyFJYchqFviBN39q3DmGBbStPiI4W7Wo6V+pAOK04NFhva&#10;WCquh5vTsOvU5HTZFqqxz8+pvB7zfL3PtR70u9UMRKQu/ov/3DuT5o/g9Us6QC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y8GH7AAAAA2wAAAA8AAAAAAAAAAAAAAAAA&#10;oQIAAGRycy9kb3ducmV2LnhtbFBLBQYAAAAABAAEAPkAAACOAwAAAAA=&#10;" strokecolor="#4579b8">
                  <v:stroke endarrow="open"/>
                </v:shape>
                <v:shape id="Rechte verbindingslijn met pijl 77" o:spid="_x0000_s1149" type="#_x0000_t32" style="position:absolute;left:3077753;top:1514629;width:0;height:33200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6GCcEAAADbAAAADwAAAGRycy9kb3ducmV2LnhtbERP32vCMBB+H/g/hBN8m8lE3Oyaiq4I&#10;wp7mxOejuTWdzaU0mdb/3gwE3+7j+3n5anCtOFMfGs8aXqYKBHHlTcO1hsP39vkNRIjIBlvPpOFK&#10;AVbF6CnHzPgLf9F5H2uRQjhkqMHG2GVShsqSwzD1HXHifnzvMCbY19L0eEnhrpUzpRbSYcOpwWJH&#10;H5aq0/7PadgNan783Vaqs9fXpTwdynLzWWo9GQ/rdxCRhvgQ3907k+bP4P+XdIAsb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boYJwQAAANsAAAAPAAAAAAAAAAAAAAAA&#10;AKECAABkcnMvZG93bnJldi54bWxQSwUGAAAAAAQABAD5AAAAjwMAAAAA&#10;" strokecolor="#4579b8">
                  <v:stroke endarrow="open"/>
                </v:shape>
                <v:shape id="Gebogen verbindingslijn 84" o:spid="_x0000_s1150" type="#_x0000_t33" style="position:absolute;left:3593462;top:1453127;width:909116;height:660312;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oSMIAAADbAAAADwAAAGRycy9kb3ducmV2LnhtbERPTYvCMBC9C/sfwgheZE1dWVeqURZZ&#10;xWtVEG9jM7a1zaQ0Ueu/N8KCt3m8z5ktWlOJGzWusKxgOIhAEKdWF5wp2O9WnxMQziNrrCyTggc5&#10;WMw/OjOMtb1zQretz0QIYRejgtz7OpbSpTkZdANbEwfubBuDPsAmk7rBewg3lfyKorE0WHBoyLGm&#10;ZU5pub0aBafy0va/r4e/+rD+STbj1f6YXEqlet32dwrCU+vf4n/3Rof5I3j9Eg6Q8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8+oSMIAAADbAAAADwAAAAAAAAAAAAAA&#10;AAChAgAAZHJzL2Rvd25yZXYueG1sUEsFBgAAAAAEAAQA+QAAAJADAAAAAA==&#10;" strokecolor="#4579b8">
                  <v:stroke endarrow="open"/>
                </v:shape>
                <v:shape id="Gebogen verbindingslijn 85" o:spid="_x0000_s1151" type="#_x0000_t33" style="position:absolute;left:3533061;top:302706;width:969517;height:617012;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PV0MIAAADbAAAADwAAAGRycy9kb3ducmV2LnhtbERPTWvCQBC9C/6HZQQvUjeVNoToKlJQ&#10;pBZEbaHHITsmwexsyK4m/ntXELzN433ObNGZSlypcaVlBe/jCARxZnXJuYLf4+otAeE8ssbKMim4&#10;kYPFvN+bYapty3u6HnwuQgi7FBUU3teplC4ryKAb25o4cCfbGPQBNrnUDbYh3FRyEkWxNFhyaCiw&#10;pq+CsvPhYhSUyXb0vYt3nCR///HPfo3ys42VGg665RSEp86/xE/3Rof5H/D4JRwg5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FPV0MIAAADbAAAADwAAAAAAAAAAAAAA&#10;AAChAgAAZHJzL2Rvd25yZXYueG1sUEsFBgAAAAAEAAQA+QAAAJADAAAAAA==&#10;" strokecolor="#4579b8" strokeweight="1.5pt">
                  <v:stroke endarrow="open"/>
                </v:shape>
                <v:shape id="Gebogen verbindingslijn 86" o:spid="_x0000_s1152" type="#_x0000_t33" style="position:absolute;left:1844131;top:201504;width:616812;height:819214;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Q1ysEAAADbAAAADwAAAGRycy9kb3ducmV2LnhtbERPTWvCQBC9F/wPyxS81U21LRpdQxAU&#10;kXqoCl6H7JgEs7Mxuybx33eFQm/zeJ+zSHpTiZYaV1pW8D6KQBBnVpecKzgd129TEM4ja6wsk4IH&#10;OUiWg5cFxtp2/EPtwecihLCLUUHhfR1L6bKCDLqRrYkDd7GNQR9gk0vdYBfCTSXHUfQlDZYcGgqs&#10;aVVQdj3cjQLEtXGRzu7779t5s3tM8o9ZlSo1fO3TOQhPvf8X/7m3Osz/hOcv4QC5/A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KhDXKwQAAANsAAAAPAAAAAAAAAAAAAAAA&#10;AKECAABkcnMvZG93bnJldi54bWxQSwUGAAAAAAQABAD5AAAAjwMAAAAA&#10;" strokecolor="#4579b8" strokeweight="1.5pt">
                  <v:stroke endarrow="open"/>
                </v:shape>
                <v:shape id="Gebogen verbindingslijn 24" o:spid="_x0000_s1153" type="#_x0000_t33" style="position:absolute;left:1742930;top:1452927;width:878915;height:660512;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llvsIAAADbAAAADwAAAGRycy9kb3ducmV2LnhtbERPTYvCMBC9C/6HMMLeNFVQpGsUFRRl&#10;RWj14HFoxrZsMylNtq3/fiMs7G0e73NWm95UoqXGlZYVTCcRCOLM6pJzBffbYbwE4TyyxsoyKXiR&#10;g816OFhhrG3HCbWpz0UIYRejgsL7OpbSZQUZdBNbEwfuaRuDPsAml7rBLoSbSs6iaCENlhwaCqxp&#10;X1D2nf4YBfN5ez/OduU52V5Paff1kJfp46nUx6jffoLw1Pt/8Z/7pMP8Bbx/CQ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jllvsIAAADbAAAADwAAAAAAAAAAAAAA&#10;AAChAgAAZHJzL2Rvd25yZXYueG1sUEsFBgAAAAAEAAQA+QAAAJADAAAAAA==&#10;" strokecolor="red">
                  <v:stroke dashstyle="dash" endarrow="open"/>
                </v:shape>
                <v:line id="Rechte verbindingslijn 39" o:spid="_x0000_s1154" style="position:absolute;flip:x;visibility:visible;mso-wrap-style:square" from="1943134,447608" to="2561945,4476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ccA8AAAADbAAAADwAAAGRycy9kb3ducmV2LnhtbERPS4vCMBC+L/gfwgje1lQFlWoUHwiK&#10;oli9eBuasS02k9JE7f77jbCwt/n4njOdN6YUL6pdYVlBrxuBIE6tLjhTcL1svscgnEfWWFomBT/k&#10;YD5rfU0x1vbNZ3olPhMhhF2MCnLvq1hKl+Zk0HVtRRy4u60N+gDrTOoa3yHclLIfRUNpsODQkGNF&#10;q5zSR/I0Cna9nT4eeOkSqpL9en+6DdzhplSn3SwmIDw1/l/8597qMH8En1/CAXL2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1XHAPAAAAA2wAAAA8AAAAAAAAAAAAAAAAA&#10;oQIAAGRycy9kb3ducmV2LnhtbFBLBQYAAAAABAAEAPkAAACOAwAAAAA=&#10;" strokecolor="red">
                  <v:stroke dashstyle="dash"/>
                </v:line>
                <v:shape id="Rechte verbindingslijn met pijl 40" o:spid="_x0000_s1155" type="#_x0000_t32" style="position:absolute;left:1943034;top:447608;width:0;height:4716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joOcYAAADbAAAADwAAAGRycy9kb3ducmV2LnhtbESPQWvCQBCF7wX/wzJCL1I3FiwSXUWF&#10;Qg89tNFQvE2z0ySYnQ3Z1UR/fedQ6G2G9+a9b1abwTXqSl2oPRuYTRNQxIW3NZcGjofXpwWoEJEt&#10;Np7JwI0CbNajhxWm1vf8SdcslkpCOKRooIqxTbUORUUOw9S3xKL9+M5hlLUrte2wl3DX6OckedEO&#10;a5aGClvaV1Scs4sz8HF/n00u37dJPOXZLpvnXA/9lzGP42G7BBVpiP/mv+s3K/gCK7/IAHr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746DnGAAAA2wAAAA8AAAAAAAAA&#10;AAAAAAAAoQIAAGRycy9kb3ducmV2LnhtbFBLBQYAAAAABAAEAPkAAACUAwAAAAA=&#10;" strokecolor="red">
                  <v:stroke dashstyle="dash" endarrow="open"/>
                </v:shape>
                <v:shape id="Tekstvak 29" o:spid="_x0000_s1156" type="#_x0000_t202" style="position:absolute;left:1943034;top:447608;width:837614;height:274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bMSwgAA&#10;ANsAAAAPAAAAZHJzL2Rvd25yZXYueG1sRE9Li8IwEL4v+B/CCHtbUwVFq1GkICuLHnxcvI3N2Bab&#10;SW2yWv31RhC8zcf3nMmsMaW4Uu0Kywq6nQgEcWp1wZmC/W7xMwThPLLG0jIpuJOD2bT1NcFY2xtv&#10;6Lr1mQgh7GJUkHtfxVK6NCeDrmMr4sCdbG3QB1hnUtd4C+GmlL0oGkiDBYeGHCtKckrP23+j4C9Z&#10;rHFz7Jnho0x+V6d5ddkf+kp9t5v5GISnxn/Eb/dSh/kjeP0SDp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tsxLCAAAA2wAAAA8AAAAAAAAAAAAAAAAAlwIAAGRycy9kb3du&#10;cmV2LnhtbFBLBQYAAAAABAAEAPUAAACGAwAAAAA=&#10;" filled="f" stroked="f" strokeweight=".5pt">
                  <v:textbox>
                    <w:txbxContent>
                      <w:p w14:paraId="0B448F5B"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v:textbox>
                </v:shape>
                <v:shape id="Tekstvak 29" o:spid="_x0000_s1157" type="#_x0000_t202" style="position:absolute;left:1760330;top:1912436;width:836914;height:27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9AywgAA&#10;ANsAAAAPAAAAZHJzL2Rvd25yZXYueG1sRE/LasJAFN0L/sNwC+500oAi0VEkIC3FLnxs3N1mrkno&#10;zJ2YmSaxX+8sCl0eznu9HawRHbW+dqzgdZaAIC6crrlUcDnvp0sQPiBrNI5JwYM8bDfj0Roz7Xo+&#10;UncKpYgh7DNUUIXQZFL6oiKLfuYa4sjdXGsxRNiWUrfYx3BrZJokC2mx5thQYUN5RcX36ccq+Mj3&#10;n3j8Su3y1+Rvh9uuuV+uc6UmL8NuBSLQEP7Ff+53rSCN6+OX+AP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70DLCAAAA2wAAAA8AAAAAAAAAAAAAAAAAlwIAAGRycy9kb3du&#10;cmV2LnhtbFBLBQYAAAAABAAEAPUAAACGAwAAAAA=&#10;" filled="f" stroked="f" strokeweight=".5pt">
                  <v:textbox>
                    <w:txbxContent>
                      <w:p w14:paraId="063F4307" w14:textId="77777777" w:rsidR="00972546" w:rsidRDefault="00972546" w:rsidP="00E76739">
                        <w:pPr>
                          <w:pStyle w:val="NormalWeb"/>
                          <w:spacing w:after="0"/>
                          <w:rPr>
                            <w:rFonts w:ascii="Calibri" w:hAnsi="Calibri" w:cs="Calibri"/>
                          </w:rPr>
                        </w:pPr>
                        <w:r>
                          <w:rPr>
                            <w:rFonts w:ascii="Calibri" w:hAnsi="Calibri" w:cs="Calibri"/>
                            <w:sz w:val="18"/>
                            <w:szCs w:val="18"/>
                          </w:rPr>
                          <w:t>feedback</w:t>
                        </w:r>
                      </w:p>
                    </w:txbxContent>
                  </v:textbox>
                </v:shape>
                <w10:anchorlock/>
              </v:group>
            </w:pict>
          </mc:Fallback>
        </mc:AlternateContent>
      </w:r>
    </w:p>
    <w:p w14:paraId="55EEC451" w14:textId="6BA3512D" w:rsidR="00E76739" w:rsidRPr="00E76739" w:rsidRDefault="00E76739" w:rsidP="00E76739">
      <w:pPr>
        <w:spacing w:after="240" w:line="240" w:lineRule="auto"/>
        <w:jc w:val="both"/>
        <w:rPr>
          <w:rFonts w:ascii="Calibri" w:eastAsia="Times New Roman" w:hAnsi="Calibri" w:cs="Calibri"/>
          <w:i/>
          <w:lang w:val="en-GB" w:eastAsia="zh-CN"/>
        </w:rPr>
      </w:pPr>
      <w:r w:rsidRPr="00E76739">
        <w:rPr>
          <w:rFonts w:ascii="Calibri" w:eastAsia="Times New Roman" w:hAnsi="Calibri" w:cs="Calibri"/>
          <w:i/>
          <w:lang w:val="en-GB" w:eastAsia="zh-CN"/>
        </w:rPr>
        <w:t xml:space="preserve">Legend: The blue arrows represent the information that flows from one agency to another (normally that is a report/case unless it is specified that it only concerns a copy) and the red dotted arrows illustrate supervision and </w:t>
      </w:r>
      <w:r w:rsidR="0083593B" w:rsidRPr="00E76739">
        <w:rPr>
          <w:rFonts w:ascii="Calibri" w:eastAsia="Times New Roman" w:hAnsi="Calibri" w:cs="Calibri"/>
          <w:i/>
          <w:lang w:val="en-GB" w:eastAsia="zh-CN"/>
        </w:rPr>
        <w:t>case</w:t>
      </w:r>
      <w:r w:rsidR="0083593B">
        <w:rPr>
          <w:rFonts w:ascii="Calibri" w:eastAsia="Times New Roman" w:hAnsi="Calibri" w:cs="Calibri"/>
          <w:i/>
          <w:lang w:val="en-GB" w:eastAsia="zh-CN"/>
        </w:rPr>
        <w:t>-</w:t>
      </w:r>
      <w:r w:rsidRPr="00E76739">
        <w:rPr>
          <w:rFonts w:ascii="Calibri" w:eastAsia="Times New Roman" w:hAnsi="Calibri" w:cs="Calibri"/>
          <w:i/>
          <w:lang w:val="en-GB" w:eastAsia="zh-CN"/>
        </w:rPr>
        <w:t xml:space="preserve">specific feedback. We have only looked at feedback directed to the FIU, and therefore this </w:t>
      </w:r>
      <w:r w:rsidR="00A00C80">
        <w:rPr>
          <w:rFonts w:ascii="Calibri" w:eastAsia="Times New Roman" w:hAnsi="Calibri" w:cs="Calibri"/>
          <w:i/>
          <w:lang w:val="en-GB" w:eastAsia="zh-CN"/>
        </w:rPr>
        <w:t>figure</w:t>
      </w:r>
      <w:r w:rsidRPr="00E76739">
        <w:rPr>
          <w:rFonts w:ascii="Calibri" w:eastAsia="Times New Roman" w:hAnsi="Calibri" w:cs="Calibri"/>
          <w:i/>
          <w:lang w:val="en-GB" w:eastAsia="zh-CN"/>
        </w:rPr>
        <w:t xml:space="preserve"> excludes all other feedback</w:t>
      </w:r>
      <w:r w:rsidR="00A00C80">
        <w:rPr>
          <w:rFonts w:ascii="Calibri" w:eastAsia="Times New Roman" w:hAnsi="Calibri" w:cs="Calibri"/>
          <w:i/>
          <w:lang w:val="en-GB" w:eastAsia="zh-CN"/>
        </w:rPr>
        <w:t>,</w:t>
      </w:r>
      <w:r w:rsidRPr="00E76739">
        <w:rPr>
          <w:rFonts w:ascii="Calibri" w:eastAsia="Times New Roman" w:hAnsi="Calibri" w:cs="Calibri"/>
          <w:i/>
          <w:lang w:val="en-GB" w:eastAsia="zh-CN"/>
        </w:rPr>
        <w:t xml:space="preserve"> i.e. between court and prosecution. </w:t>
      </w:r>
    </w:p>
    <w:p w14:paraId="43EE3396" w14:textId="77777777" w:rsidR="00E76739" w:rsidRPr="00E76739" w:rsidRDefault="00E76739" w:rsidP="00E76739">
      <w:pPr>
        <w:spacing w:after="240" w:line="240" w:lineRule="auto"/>
        <w:jc w:val="both"/>
        <w:rPr>
          <w:rFonts w:ascii="Calibri" w:eastAsia="SimSun" w:hAnsi="Calibri" w:cs="Times New Roman"/>
          <w:b/>
          <w:bCs/>
          <w:lang w:val="en-GB" w:eastAsia="zh-CN"/>
        </w:rPr>
      </w:pPr>
      <w:bookmarkStart w:id="112" w:name="_Toc341109103"/>
      <w:bookmarkStart w:id="113" w:name="_Toc341266543"/>
      <w:r w:rsidRPr="00E76739">
        <w:rPr>
          <w:rFonts w:ascii="Calibri" w:eastAsia="SimSun" w:hAnsi="Calibri" w:cs="Times New Roman"/>
          <w:b/>
          <w:bCs/>
          <w:lang w:val="en-GB" w:eastAsia="zh-CN"/>
        </w:rPr>
        <w:br/>
      </w:r>
      <w:r w:rsidR="00BA07A1">
        <w:rPr>
          <w:rFonts w:ascii="Calibri" w:eastAsia="SimSun" w:hAnsi="Calibri" w:cs="Times New Roman"/>
          <w:b/>
          <w:bCs/>
          <w:lang w:val="en-GB" w:eastAsia="zh-CN"/>
        </w:rPr>
        <w:t>8</w:t>
      </w:r>
      <w:r w:rsidRPr="00E76739">
        <w:rPr>
          <w:rFonts w:ascii="Calibri" w:eastAsia="SimSun" w:hAnsi="Calibri" w:cs="Times New Roman"/>
          <w:b/>
          <w:bCs/>
          <w:lang w:val="en-GB" w:eastAsia="zh-CN"/>
        </w:rPr>
        <w:t>.5.27 United Kingdom</w:t>
      </w:r>
      <w:bookmarkEnd w:id="112"/>
      <w:bookmarkEnd w:id="113"/>
    </w:p>
    <w:p w14:paraId="243DEB5E" w14:textId="01141BE9" w:rsidR="00E76739" w:rsidRPr="00E76739" w:rsidRDefault="00E76739" w:rsidP="00E76739">
      <w:pPr>
        <w:spacing w:after="240" w:line="240" w:lineRule="auto"/>
        <w:jc w:val="both"/>
        <w:rPr>
          <w:rFonts w:ascii="Calibri" w:eastAsia="Times New Roman" w:hAnsi="Calibri" w:cs="Times New Roman"/>
          <w:lang w:val="en-GB" w:eastAsia="zh-CN"/>
        </w:rPr>
      </w:pPr>
      <w:r w:rsidRPr="00E76739">
        <w:rPr>
          <w:rFonts w:ascii="Calibri" w:eastAsia="Times New Roman" w:hAnsi="Calibri" w:cs="Times New Roman"/>
          <w:lang w:val="en-GB" w:eastAsia="zh-CN"/>
        </w:rPr>
        <w:t xml:space="preserve">In 2013 </w:t>
      </w:r>
      <w:r w:rsidR="005873F7">
        <w:rPr>
          <w:rFonts w:ascii="Calibri" w:eastAsia="Times New Roman" w:hAnsi="Calibri" w:cs="Times New Roman"/>
          <w:lang w:val="en-GB" w:eastAsia="zh-CN"/>
        </w:rPr>
        <w:t xml:space="preserve">it </w:t>
      </w:r>
      <w:r w:rsidRPr="00E76739">
        <w:rPr>
          <w:rFonts w:ascii="Calibri" w:eastAsia="Times New Roman" w:hAnsi="Calibri" w:cs="Times New Roman"/>
          <w:lang w:val="en-GB" w:eastAsia="zh-CN"/>
        </w:rPr>
        <w:t xml:space="preserve">is expected </w:t>
      </w:r>
      <w:r w:rsidR="005873F7">
        <w:rPr>
          <w:rFonts w:ascii="Calibri" w:eastAsia="Times New Roman" w:hAnsi="Calibri" w:cs="Times New Roman"/>
          <w:lang w:val="en-GB" w:eastAsia="zh-CN"/>
        </w:rPr>
        <w:t>that</w:t>
      </w:r>
      <w:r w:rsidR="005873F7" w:rsidRPr="00E76739">
        <w:rPr>
          <w:rFonts w:ascii="Calibri" w:eastAsia="Times New Roman" w:hAnsi="Calibri" w:cs="Times New Roman"/>
          <w:lang w:val="en-GB" w:eastAsia="zh-CN"/>
        </w:rPr>
        <w:t xml:space="preserve"> </w:t>
      </w:r>
      <w:r w:rsidR="005873F7">
        <w:rPr>
          <w:rFonts w:ascii="Calibri" w:eastAsia="Times New Roman" w:hAnsi="Calibri" w:cs="Times New Roman"/>
          <w:lang w:val="en-GB" w:eastAsia="zh-CN"/>
        </w:rPr>
        <w:t>SOCA</w:t>
      </w:r>
      <w:r w:rsidR="005873F7" w:rsidRPr="00E76739">
        <w:rPr>
          <w:rFonts w:ascii="Calibri" w:eastAsia="Times New Roman" w:hAnsi="Calibri" w:cs="Times New Roman"/>
          <w:lang w:val="en-GB" w:eastAsia="zh-CN"/>
        </w:rPr>
        <w:t xml:space="preserve"> </w:t>
      </w:r>
      <w:r w:rsidR="005873F7">
        <w:rPr>
          <w:rFonts w:ascii="Calibri" w:eastAsia="Times New Roman" w:hAnsi="Calibri" w:cs="Times New Roman"/>
          <w:lang w:val="en-GB" w:eastAsia="zh-CN"/>
        </w:rPr>
        <w:t xml:space="preserve">will </w:t>
      </w:r>
      <w:r w:rsidRPr="00E76739">
        <w:rPr>
          <w:rFonts w:ascii="Calibri" w:eastAsia="Times New Roman" w:hAnsi="Calibri" w:cs="Times New Roman"/>
          <w:lang w:val="en-GB" w:eastAsia="zh-CN"/>
        </w:rPr>
        <w:t xml:space="preserve">be merged </w:t>
      </w:r>
      <w:r w:rsidR="005873F7">
        <w:rPr>
          <w:rFonts w:ascii="Calibri" w:eastAsia="Times New Roman" w:hAnsi="Calibri" w:cs="Times New Roman"/>
          <w:lang w:val="en-GB" w:eastAsia="zh-CN"/>
        </w:rPr>
        <w:t>with</w:t>
      </w:r>
      <w:r w:rsidR="005873F7"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the National Crime Agency (NCA). The UK authorities state that the NCA is working through the issues of structure and decisions on structure and design are being clarified. It is still uncertain which other law enforcement agencies will be merged </w:t>
      </w:r>
      <w:r w:rsidR="005873F7">
        <w:rPr>
          <w:rFonts w:ascii="Calibri" w:eastAsia="Times New Roman" w:hAnsi="Calibri" w:cs="Times New Roman"/>
          <w:lang w:val="en-GB" w:eastAsia="zh-CN"/>
        </w:rPr>
        <w:t>with</w:t>
      </w:r>
      <w:r w:rsidR="005873F7"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the National Crime Agency. UK</w:t>
      </w:r>
      <w:r w:rsidR="00FA5AA0">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FIU will most likely be positioned in the so-called ‘information hub’ foreseen in the planned NCA structure. </w:t>
      </w:r>
      <w:r w:rsidR="005873F7">
        <w:rPr>
          <w:rFonts w:ascii="Calibri" w:eastAsia="Times New Roman" w:hAnsi="Calibri" w:cs="Times New Roman"/>
          <w:lang w:val="en-GB" w:eastAsia="zh-CN"/>
        </w:rPr>
        <w:t>Bear</w:t>
      </w:r>
      <w:r w:rsidR="005873F7" w:rsidRPr="00E76739">
        <w:rPr>
          <w:rFonts w:ascii="Calibri" w:eastAsia="Times New Roman" w:hAnsi="Calibri" w:cs="Times New Roman"/>
          <w:lang w:val="en-GB" w:eastAsia="zh-CN"/>
        </w:rPr>
        <w:t xml:space="preserve">ing </w:t>
      </w:r>
      <w:r w:rsidR="005873F7" w:rsidRPr="005873F7">
        <w:rPr>
          <w:rFonts w:ascii="Calibri" w:eastAsia="Times New Roman" w:hAnsi="Calibri" w:cs="Times New Roman"/>
          <w:lang w:val="en-GB" w:eastAsia="zh-CN"/>
        </w:rPr>
        <w:t xml:space="preserve">these changes </w:t>
      </w:r>
      <w:r w:rsidRPr="00E76739">
        <w:rPr>
          <w:rFonts w:ascii="Calibri" w:eastAsia="Times New Roman" w:hAnsi="Calibri" w:cs="Times New Roman"/>
          <w:lang w:val="en-GB" w:eastAsia="zh-CN"/>
        </w:rPr>
        <w:t xml:space="preserve">in mind, Figure </w:t>
      </w:r>
      <w:r w:rsidR="00BA07A1">
        <w:rPr>
          <w:rFonts w:ascii="Calibri" w:eastAsia="Times New Roman" w:hAnsi="Calibri" w:cs="Times New Roman"/>
          <w:lang w:val="en-GB" w:eastAsia="zh-CN"/>
        </w:rPr>
        <w:t>8</w:t>
      </w:r>
      <w:r w:rsidRPr="00E76739">
        <w:rPr>
          <w:rFonts w:ascii="Calibri" w:eastAsia="Times New Roman" w:hAnsi="Calibri" w:cs="Times New Roman"/>
          <w:lang w:val="en-GB" w:eastAsia="zh-CN"/>
        </w:rPr>
        <w:t>.</w:t>
      </w:r>
      <w:r w:rsidR="00420F8F">
        <w:rPr>
          <w:rFonts w:ascii="Calibri" w:eastAsia="Times New Roman" w:hAnsi="Calibri" w:cs="Times New Roman"/>
          <w:lang w:val="en-GB" w:eastAsia="zh-CN"/>
        </w:rPr>
        <w:t>30</w:t>
      </w:r>
      <w:r w:rsidR="00420F8F"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is likely to need significant correction.</w:t>
      </w:r>
    </w:p>
    <w:p w14:paraId="767B41DF" w14:textId="649DD802" w:rsidR="00E76739" w:rsidRPr="00E76739" w:rsidRDefault="00E76739" w:rsidP="00E76739">
      <w:pPr>
        <w:spacing w:after="240" w:line="240" w:lineRule="auto"/>
        <w:jc w:val="both"/>
        <w:rPr>
          <w:rFonts w:ascii="Calibri" w:eastAsia="Times New Roman" w:hAnsi="Calibri" w:cs="Times New Roman"/>
          <w:lang w:val="en-GB" w:eastAsia="zh-CN"/>
        </w:rPr>
      </w:pPr>
      <w:r w:rsidRPr="00E76739">
        <w:rPr>
          <w:rFonts w:ascii="Calibri" w:eastAsia="Times New Roman" w:hAnsi="Calibri" w:cs="Times New Roman"/>
          <w:lang w:val="en-GB" w:eastAsia="zh-CN"/>
        </w:rPr>
        <w:t>The UK</w:t>
      </w:r>
      <w:r w:rsidR="00FA5AA0">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FIU receives SARs and consent SARs from the reporting entities and from other entities. From the day the FIU receives a </w:t>
      </w:r>
      <w:r w:rsidR="00346782">
        <w:rPr>
          <w:rFonts w:ascii="Calibri" w:eastAsia="Times New Roman" w:hAnsi="Calibri" w:cs="Times New Roman"/>
          <w:lang w:val="en-GB" w:eastAsia="zh-CN"/>
        </w:rPr>
        <w:t>c</w:t>
      </w:r>
      <w:r w:rsidR="00346782" w:rsidRPr="00E76739">
        <w:rPr>
          <w:rFonts w:ascii="Calibri" w:eastAsia="Times New Roman" w:hAnsi="Calibri" w:cs="Times New Roman"/>
          <w:lang w:val="en-GB" w:eastAsia="zh-CN"/>
        </w:rPr>
        <w:t xml:space="preserve">onsent </w:t>
      </w:r>
      <w:r w:rsidRPr="00E76739">
        <w:rPr>
          <w:rFonts w:ascii="Calibri" w:eastAsia="Times New Roman" w:hAnsi="Calibri" w:cs="Times New Roman"/>
          <w:lang w:val="en-GB" w:eastAsia="zh-CN"/>
        </w:rPr>
        <w:t>SAR it has seven working days to analyse it and to decide upon its consent. There is a special Consent SARs Team within UK</w:t>
      </w:r>
      <w:r w:rsidR="00FA5AA0">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FIU that analyses the </w:t>
      </w:r>
      <w:r w:rsidR="00346782">
        <w:rPr>
          <w:rFonts w:ascii="Calibri" w:eastAsia="Times New Roman" w:hAnsi="Calibri" w:cs="Times New Roman"/>
          <w:lang w:val="en-GB" w:eastAsia="zh-CN"/>
        </w:rPr>
        <w:t>c</w:t>
      </w:r>
      <w:r w:rsidR="00346782" w:rsidRPr="00E76739">
        <w:rPr>
          <w:rFonts w:ascii="Calibri" w:eastAsia="Times New Roman" w:hAnsi="Calibri" w:cs="Times New Roman"/>
          <w:lang w:val="en-GB" w:eastAsia="zh-CN"/>
        </w:rPr>
        <w:t xml:space="preserve">onsent </w:t>
      </w:r>
      <w:r w:rsidRPr="00E76739">
        <w:rPr>
          <w:rFonts w:ascii="Calibri" w:eastAsia="Times New Roman" w:hAnsi="Calibri" w:cs="Times New Roman"/>
          <w:lang w:val="en-GB" w:eastAsia="zh-CN"/>
        </w:rPr>
        <w:t xml:space="preserve">SARs. In the seven-working-day period they may consult other law enforcement agencies for additional information and help in the decision </w:t>
      </w:r>
      <w:r w:rsidR="00346782">
        <w:rPr>
          <w:rFonts w:ascii="Calibri" w:eastAsia="Times New Roman" w:hAnsi="Calibri" w:cs="Times New Roman"/>
          <w:lang w:val="en-GB" w:eastAsia="zh-CN"/>
        </w:rPr>
        <w:t xml:space="preserve">as to </w:t>
      </w:r>
      <w:r w:rsidRPr="00E76739">
        <w:rPr>
          <w:rFonts w:ascii="Calibri" w:eastAsia="Times New Roman" w:hAnsi="Calibri" w:cs="Times New Roman"/>
          <w:lang w:val="en-GB" w:eastAsia="zh-CN"/>
        </w:rPr>
        <w:t xml:space="preserve">whether or not to grant consent. </w:t>
      </w:r>
    </w:p>
    <w:p w14:paraId="719B0836" w14:textId="21A3A7D4" w:rsidR="00E76739" w:rsidRPr="00E76739" w:rsidRDefault="00E76739" w:rsidP="00E76739">
      <w:pPr>
        <w:spacing w:after="240" w:line="240" w:lineRule="auto"/>
        <w:jc w:val="both"/>
        <w:rPr>
          <w:rFonts w:ascii="Calibri" w:eastAsia="Times New Roman" w:hAnsi="Calibri" w:cs="Times New Roman"/>
          <w:lang w:val="en-GB" w:eastAsia="zh-CN"/>
        </w:rPr>
      </w:pPr>
      <w:r w:rsidRPr="00E76739">
        <w:rPr>
          <w:rFonts w:ascii="Calibri" w:eastAsia="Times New Roman" w:hAnsi="Calibri" w:cs="Times New Roman"/>
          <w:lang w:val="en-GB" w:eastAsia="zh-CN"/>
        </w:rPr>
        <w:t>In addition to the SARs that are analysed by specific teams (e.g. on PEPs, terrorist financing or on corruption)</w:t>
      </w:r>
      <w:r w:rsidR="00346782">
        <w:rPr>
          <w:rFonts w:ascii="Calibri" w:eastAsia="Times New Roman" w:hAnsi="Calibri" w:cs="Times New Roman"/>
          <w:lang w:val="en-GB" w:eastAsia="zh-CN"/>
        </w:rPr>
        <w:t>,</w:t>
      </w:r>
      <w:r w:rsidRPr="00E76739">
        <w:rPr>
          <w:rFonts w:ascii="Calibri" w:eastAsia="Times New Roman" w:hAnsi="Calibri" w:cs="Times New Roman"/>
          <w:lang w:val="en-GB" w:eastAsia="zh-CN"/>
        </w:rPr>
        <w:t xml:space="preserve"> other regular SARs are not actively analysed and only made available in their entirety in the SARs database (ELMER). This database is widely accessible by approximately 80 law enforcement agencies (‘end users’)</w:t>
      </w:r>
      <w:r w:rsidR="00035234">
        <w:rPr>
          <w:rFonts w:ascii="Calibri" w:eastAsia="Times New Roman" w:hAnsi="Calibri" w:cs="Times New Roman"/>
          <w:lang w:val="en-GB" w:eastAsia="zh-CN"/>
        </w:rPr>
        <w:t>.</w:t>
      </w:r>
      <w:r w:rsidRPr="00E76739">
        <w:rPr>
          <w:rFonts w:ascii="Calibri" w:eastAsia="Times New Roman" w:hAnsi="Calibri" w:cs="Times New Roman"/>
          <w:vertAlign w:val="superscript"/>
          <w:lang w:val="en-GB" w:eastAsia="zh-CN"/>
        </w:rPr>
        <w:footnoteReference w:id="79"/>
      </w:r>
      <w:r w:rsidRPr="00E76739">
        <w:rPr>
          <w:rFonts w:ascii="Calibri" w:eastAsia="Times New Roman" w:hAnsi="Calibri" w:cs="Times New Roman"/>
          <w:lang w:val="en-GB" w:eastAsia="zh-CN"/>
        </w:rPr>
        <w:t xml:space="preserve"> LEA financial investigators can cross-check data from their investigations </w:t>
      </w:r>
      <w:r w:rsidR="00035234">
        <w:rPr>
          <w:rFonts w:ascii="Calibri" w:eastAsia="Times New Roman" w:hAnsi="Calibri" w:cs="Times New Roman"/>
          <w:lang w:val="en-GB" w:eastAsia="zh-CN"/>
        </w:rPr>
        <w:t>against</w:t>
      </w:r>
      <w:r w:rsidR="00035234"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the SARs database. They have full access to the SARs. According to the UK authorities, the UK</w:t>
      </w:r>
      <w:r w:rsidR="00FA5AA0">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FIU has developed criteria that need to be met by LEAs to obtain access to the SARs database. The access criteria are strict and </w:t>
      </w:r>
      <w:r w:rsidR="00035234" w:rsidRPr="00E76739">
        <w:rPr>
          <w:rFonts w:ascii="Calibri" w:eastAsia="Times New Roman" w:hAnsi="Calibri" w:cs="Times New Roman"/>
          <w:lang w:val="en-GB" w:eastAsia="zh-CN"/>
        </w:rPr>
        <w:t>organi</w:t>
      </w:r>
      <w:r w:rsidR="00035234">
        <w:rPr>
          <w:rFonts w:ascii="Calibri" w:eastAsia="Times New Roman" w:hAnsi="Calibri" w:cs="Times New Roman"/>
          <w:lang w:val="en-GB" w:eastAsia="zh-CN"/>
        </w:rPr>
        <w:t>z</w:t>
      </w:r>
      <w:r w:rsidR="00035234" w:rsidRPr="00E76739">
        <w:rPr>
          <w:rFonts w:ascii="Calibri" w:eastAsia="Times New Roman" w:hAnsi="Calibri" w:cs="Times New Roman"/>
          <w:lang w:val="en-GB" w:eastAsia="zh-CN"/>
        </w:rPr>
        <w:t xml:space="preserve">ations </w:t>
      </w:r>
      <w:r w:rsidRPr="00E76739">
        <w:rPr>
          <w:rFonts w:ascii="Calibri" w:eastAsia="Times New Roman" w:hAnsi="Calibri" w:cs="Times New Roman"/>
          <w:lang w:val="en-GB" w:eastAsia="zh-CN"/>
        </w:rPr>
        <w:t xml:space="preserve">and individuals that can make use of the ELMER database have to sign an agreement to abide by the user criteria. </w:t>
      </w:r>
    </w:p>
    <w:p w14:paraId="6396F7BA" w14:textId="68CF2B38" w:rsidR="00E76739" w:rsidRPr="00E76739" w:rsidRDefault="00E76739" w:rsidP="00E76739">
      <w:pPr>
        <w:spacing w:after="240" w:line="240" w:lineRule="auto"/>
        <w:jc w:val="both"/>
        <w:rPr>
          <w:rFonts w:ascii="Calibri" w:eastAsia="Times New Roman" w:hAnsi="Calibri" w:cs="Times New Roman"/>
          <w:lang w:val="en-GB" w:eastAsia="zh-CN"/>
        </w:rPr>
      </w:pPr>
      <w:r w:rsidRPr="00E76739">
        <w:rPr>
          <w:rFonts w:ascii="Calibri" w:eastAsia="Times New Roman" w:hAnsi="Calibri" w:cs="Times New Roman"/>
          <w:lang w:val="en-GB" w:eastAsia="zh-CN"/>
        </w:rPr>
        <w:t xml:space="preserve">The authorities decided to provide full access </w:t>
      </w:r>
      <w:r w:rsidR="00035234">
        <w:rPr>
          <w:rFonts w:ascii="Calibri" w:eastAsia="Times New Roman" w:hAnsi="Calibri" w:cs="Times New Roman"/>
          <w:lang w:val="en-GB" w:eastAsia="zh-CN"/>
        </w:rPr>
        <w:t>for</w:t>
      </w:r>
      <w:r w:rsidR="00035234"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the LEAs to the ELMER database because UK</w:t>
      </w:r>
      <w:r w:rsidR="00FA5AA0">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FIU could not manage with the resources it had and currently has, so many SARs</w:t>
      </w:r>
      <w:r w:rsidR="00F83989">
        <w:rPr>
          <w:rFonts w:ascii="Calibri" w:eastAsia="Times New Roman" w:hAnsi="Calibri" w:cs="Times New Roman"/>
          <w:lang w:val="en-GB" w:eastAsia="zh-CN"/>
        </w:rPr>
        <w:t xml:space="preserve"> </w:t>
      </w:r>
      <w:r w:rsidR="00F83989" w:rsidRPr="00F83989">
        <w:rPr>
          <w:rFonts w:ascii="Calibri" w:eastAsia="Times New Roman" w:hAnsi="Calibri" w:cs="Times New Roman"/>
          <w:lang w:val="en-GB" w:eastAsia="zh-CN"/>
        </w:rPr>
        <w:t>to deal with</w:t>
      </w:r>
      <w:r w:rsidRPr="00E76739">
        <w:rPr>
          <w:rFonts w:ascii="Calibri" w:eastAsia="Times New Roman" w:hAnsi="Calibri" w:cs="Times New Roman"/>
          <w:lang w:val="en-GB" w:eastAsia="zh-CN"/>
        </w:rPr>
        <w:t xml:space="preserve">. By providing LEA direct access, the chance that the SARs are actually used and can contribute to an investigation is increased. Also, SARs can pop up </w:t>
      </w:r>
      <w:r w:rsidR="00F83989">
        <w:rPr>
          <w:rFonts w:ascii="Calibri" w:eastAsia="Times New Roman" w:hAnsi="Calibri" w:cs="Times New Roman"/>
          <w:lang w:val="en-GB" w:eastAsia="zh-CN"/>
        </w:rPr>
        <w:t xml:space="preserve">at </w:t>
      </w:r>
      <w:r w:rsidRPr="00E76739">
        <w:rPr>
          <w:rFonts w:ascii="Calibri" w:eastAsia="Times New Roman" w:hAnsi="Calibri" w:cs="Times New Roman"/>
          <w:lang w:val="en-GB" w:eastAsia="zh-CN"/>
        </w:rPr>
        <w:t>various times in different investigations and can thus be ‘reused’.</w:t>
      </w:r>
    </w:p>
    <w:p w14:paraId="31AA7B01" w14:textId="6F0A7BD8" w:rsidR="00E76739" w:rsidRPr="00E76739" w:rsidRDefault="00E76739" w:rsidP="00E76739">
      <w:pPr>
        <w:spacing w:after="240" w:line="240" w:lineRule="auto"/>
        <w:jc w:val="both"/>
        <w:rPr>
          <w:rFonts w:ascii="Calibri" w:eastAsia="Times New Roman" w:hAnsi="Calibri" w:cs="Times New Roman"/>
          <w:lang w:val="en-GB" w:eastAsia="zh-CN"/>
        </w:rPr>
      </w:pPr>
      <w:r w:rsidRPr="00E76739">
        <w:rPr>
          <w:rFonts w:ascii="Calibri" w:eastAsia="Times New Roman" w:hAnsi="Calibri" w:cs="Times New Roman"/>
          <w:lang w:val="en-GB" w:eastAsia="zh-CN"/>
        </w:rPr>
        <w:t>On the issue of feedback and cooperation with the LEAs and the reporting entities, the UK</w:t>
      </w:r>
      <w:r w:rsidR="00FA5AA0">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FIU representatives mention that the FIU has a special team that maintains relations with the industry and is responsible for creating awareness of the tasks and functions of UK</w:t>
      </w:r>
      <w:r w:rsidR="00727494">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FIU and the value of the SARs Regime: the Dialogue Team. The Dialogue </w:t>
      </w:r>
      <w:r w:rsidR="00CC0D76">
        <w:rPr>
          <w:rFonts w:ascii="Calibri" w:eastAsia="Times New Roman" w:hAnsi="Calibri" w:cs="Times New Roman"/>
          <w:lang w:val="en-GB" w:eastAsia="zh-CN"/>
        </w:rPr>
        <w:t>T</w:t>
      </w:r>
      <w:r w:rsidR="00CC0D76" w:rsidRPr="00E76739">
        <w:rPr>
          <w:rFonts w:ascii="Calibri" w:eastAsia="Times New Roman" w:hAnsi="Calibri" w:cs="Times New Roman"/>
          <w:lang w:val="en-GB" w:eastAsia="zh-CN"/>
        </w:rPr>
        <w:t xml:space="preserve">eam </w:t>
      </w:r>
      <w:r w:rsidRPr="00E76739">
        <w:rPr>
          <w:rFonts w:ascii="Calibri" w:eastAsia="Times New Roman" w:hAnsi="Calibri" w:cs="Times New Roman"/>
          <w:lang w:val="en-GB" w:eastAsia="zh-CN"/>
        </w:rPr>
        <w:t>also goes to law enforcement authorities and ML supervisors to maintain relations with these authorities and to discuss ‘hot topics’ with them. Furthermore, the UK</w:t>
      </w:r>
      <w:r w:rsidR="00727494">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 xml:space="preserve">FIU has a specific contact person </w:t>
      </w:r>
      <w:r w:rsidR="00CC0D76">
        <w:rPr>
          <w:rFonts w:ascii="Calibri" w:eastAsia="Times New Roman" w:hAnsi="Calibri" w:cs="Times New Roman"/>
          <w:lang w:val="en-GB" w:eastAsia="zh-CN"/>
        </w:rPr>
        <w:t>in</w:t>
      </w:r>
      <w:r w:rsidR="00CC0D76" w:rsidRPr="00E76739">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each of the ‘end users’ of the SARs database. These designated LEA staff are the point of contact for the Twice-Yearly Questionnaire and are likely to be contacted if UK</w:t>
      </w:r>
      <w:r w:rsidR="00727494">
        <w:rPr>
          <w:rFonts w:ascii="Calibri" w:eastAsia="Times New Roman" w:hAnsi="Calibri" w:cs="Times New Roman"/>
          <w:lang w:val="en-GB" w:eastAsia="zh-CN"/>
        </w:rPr>
        <w:t xml:space="preserve"> </w:t>
      </w:r>
      <w:r w:rsidRPr="00E76739">
        <w:rPr>
          <w:rFonts w:ascii="Calibri" w:eastAsia="Times New Roman" w:hAnsi="Calibri" w:cs="Times New Roman"/>
          <w:lang w:val="en-GB" w:eastAsia="zh-CN"/>
        </w:rPr>
        <w:t>FIU seeks contact with a particular law enforcement agency.</w:t>
      </w:r>
    </w:p>
    <w:p w14:paraId="743DA66F" w14:textId="003DEE81" w:rsidR="00E76739" w:rsidRPr="00E76739" w:rsidRDefault="00E76739" w:rsidP="00E76739">
      <w:pPr>
        <w:spacing w:after="0" w:line="240" w:lineRule="auto"/>
        <w:jc w:val="center"/>
        <w:rPr>
          <w:rFonts w:ascii="Calibri" w:eastAsia="SimSun" w:hAnsi="Calibri" w:cs="Times New Roman"/>
          <w:b/>
          <w:lang w:val="en-GB" w:eastAsia="zh-CN"/>
        </w:rPr>
      </w:pPr>
      <w:bookmarkStart w:id="114" w:name="_Toc350517118"/>
      <w:r w:rsidRPr="00E76739">
        <w:rPr>
          <w:rFonts w:ascii="Calibri" w:eastAsia="SimSun" w:hAnsi="Calibri" w:cs="Times New Roman"/>
          <w:b/>
          <w:lang w:val="en-GB" w:eastAsia="zh-CN"/>
        </w:rPr>
        <w:t xml:space="preserve">Figure </w:t>
      </w:r>
      <w:r w:rsidR="00BA07A1">
        <w:rPr>
          <w:rFonts w:ascii="Calibri" w:eastAsia="SimSun" w:hAnsi="Calibri" w:cs="Times New Roman"/>
          <w:b/>
          <w:lang w:val="en-GB" w:eastAsia="zh-CN"/>
        </w:rPr>
        <w:t>8</w:t>
      </w:r>
      <w:r w:rsidRPr="00E76739">
        <w:rPr>
          <w:rFonts w:ascii="Calibri" w:eastAsia="SimSun" w:hAnsi="Calibri" w:cs="Times New Roman"/>
          <w:b/>
          <w:lang w:val="en-GB" w:eastAsia="zh-CN"/>
        </w:rPr>
        <w:t>.</w:t>
      </w:r>
      <w:r w:rsidR="00420F8F">
        <w:rPr>
          <w:rFonts w:ascii="Calibri" w:eastAsia="SimSun" w:hAnsi="Calibri" w:cs="Times New Roman"/>
          <w:b/>
          <w:lang w:val="en-GB" w:eastAsia="zh-CN"/>
        </w:rPr>
        <w:t>31</w:t>
      </w:r>
      <w:r w:rsidRPr="00E76739">
        <w:rPr>
          <w:rFonts w:ascii="Calibri" w:eastAsia="SimSun" w:hAnsi="Calibri" w:cs="Times New Roman"/>
          <w:b/>
          <w:lang w:val="en-GB" w:eastAsia="zh-CN"/>
        </w:rPr>
        <w:t xml:space="preserve">: AML/CTF Information flows in the United </w:t>
      </w:r>
      <w:commentRangeStart w:id="115"/>
      <w:commentRangeStart w:id="116"/>
      <w:r w:rsidRPr="00E76739">
        <w:rPr>
          <w:rFonts w:ascii="Calibri" w:eastAsia="SimSun" w:hAnsi="Calibri" w:cs="Times New Roman"/>
          <w:b/>
          <w:lang w:val="en-GB" w:eastAsia="zh-CN"/>
        </w:rPr>
        <w:t>Kingdom</w:t>
      </w:r>
      <w:bookmarkEnd w:id="114"/>
      <w:commentRangeEnd w:id="115"/>
      <w:r w:rsidR="00CC0D76">
        <w:rPr>
          <w:rStyle w:val="CommentReference"/>
        </w:rPr>
        <w:commentReference w:id="115"/>
      </w:r>
      <w:commentRangeEnd w:id="116"/>
      <w:r w:rsidR="00727494">
        <w:rPr>
          <w:rStyle w:val="CommentReference"/>
        </w:rPr>
        <w:commentReference w:id="116"/>
      </w:r>
    </w:p>
    <w:p w14:paraId="7C26DEB1" w14:textId="77777777" w:rsidR="00E76739" w:rsidRPr="00E76739" w:rsidRDefault="00E76739" w:rsidP="00E76739">
      <w:pPr>
        <w:spacing w:after="0" w:line="240" w:lineRule="auto"/>
        <w:jc w:val="both"/>
        <w:rPr>
          <w:rFonts w:ascii="Calibri" w:eastAsia="SimSun" w:hAnsi="Calibri" w:cs="Times New Roman"/>
          <w:b/>
          <w:lang w:val="en-GB" w:eastAsia="zh-CN"/>
        </w:rPr>
      </w:pPr>
    </w:p>
    <w:p w14:paraId="7A3A1B91" w14:textId="77777777" w:rsidR="00E76739" w:rsidRPr="00E76739" w:rsidRDefault="00E76739" w:rsidP="00E76739">
      <w:pPr>
        <w:spacing w:after="0" w:line="240" w:lineRule="auto"/>
        <w:jc w:val="both"/>
        <w:rPr>
          <w:rFonts w:ascii="Calibri" w:eastAsia="Calibri" w:hAnsi="Calibri" w:cs="Times New Roman"/>
          <w:b/>
          <w:u w:val="single"/>
          <w:lang w:val="en-GB" w:eastAsia="zh-CN"/>
        </w:rPr>
      </w:pPr>
      <w:r w:rsidRPr="00E76739">
        <w:rPr>
          <w:rFonts w:ascii="Calibri" w:eastAsia="Calibri" w:hAnsi="Calibri" w:cs="Times New Roman"/>
          <w:b/>
          <w:noProof/>
          <w:lang w:val="en-US" w:eastAsia="en-US"/>
        </w:rPr>
        <w:drawing>
          <wp:inline distT="0" distB="0" distL="0" distR="0" wp14:anchorId="19285099" wp14:editId="3AA8BB8C">
            <wp:extent cx="5972175" cy="4095750"/>
            <wp:effectExtent l="0" t="0" r="9525" b="0"/>
            <wp:docPr id="43" name="Afbeelding 47" descr="UKInformationFlow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KInformationFlows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l="3970" t="9195" r="7430" b="13969"/>
                    <a:stretch>
                      <a:fillRect/>
                    </a:stretch>
                  </pic:blipFill>
                  <pic:spPr bwMode="auto">
                    <a:xfrm>
                      <a:off x="0" y="0"/>
                      <a:ext cx="5972175" cy="4095750"/>
                    </a:xfrm>
                    <a:prstGeom prst="rect">
                      <a:avLst/>
                    </a:prstGeom>
                    <a:noFill/>
                    <a:ln>
                      <a:noFill/>
                    </a:ln>
                  </pic:spPr>
                </pic:pic>
              </a:graphicData>
            </a:graphic>
          </wp:inline>
        </w:drawing>
      </w:r>
    </w:p>
    <w:p w14:paraId="22407FD7" w14:textId="391A03E3" w:rsidR="00E76739" w:rsidRPr="00E76739" w:rsidRDefault="00E76739" w:rsidP="00E76739">
      <w:pPr>
        <w:spacing w:after="240" w:line="240" w:lineRule="auto"/>
        <w:jc w:val="both"/>
        <w:rPr>
          <w:rFonts w:ascii="Calibri" w:eastAsia="Calibri" w:hAnsi="Calibri" w:cs="Times New Roman"/>
          <w:b/>
          <w:i/>
          <w:u w:val="single"/>
          <w:lang w:val="en-GB" w:eastAsia="zh-CN"/>
        </w:rPr>
      </w:pPr>
      <w:r w:rsidRPr="00E76739">
        <w:rPr>
          <w:rFonts w:ascii="Calibri" w:eastAsia="Calibri" w:hAnsi="Calibri" w:cs="Times New Roman"/>
          <w:i/>
          <w:sz w:val="20"/>
          <w:szCs w:val="20"/>
          <w:lang w:val="en-GB" w:eastAsia="zh-CN"/>
        </w:rPr>
        <w:t xml:space="preserve">Legend: In the figure above the red arrows show the ML/TF flows of information; blue arrows represent the feedback given and received by the FIU; the thickness of the arrows reflects the intensity of the information flows –in terms of </w:t>
      </w:r>
      <w:r w:rsidR="00EB4D9A" w:rsidRPr="00EB4D9A">
        <w:rPr>
          <w:rFonts w:ascii="Calibri" w:eastAsia="Calibri" w:hAnsi="Calibri" w:cs="Times New Roman"/>
          <w:i/>
          <w:sz w:val="20"/>
          <w:szCs w:val="20"/>
          <w:lang w:val="en-GB" w:eastAsia="zh-CN"/>
        </w:rPr>
        <w:t xml:space="preserve">both </w:t>
      </w:r>
      <w:r w:rsidRPr="00E76739">
        <w:rPr>
          <w:rFonts w:ascii="Calibri" w:eastAsia="Calibri" w:hAnsi="Calibri" w:cs="Times New Roman"/>
          <w:i/>
          <w:sz w:val="20"/>
          <w:szCs w:val="20"/>
          <w:lang w:val="en-GB" w:eastAsia="zh-CN"/>
        </w:rPr>
        <w:t xml:space="preserve">quantity and quality; shaded boxes are used to designate those departments/offices/institutions that have a higher level of </w:t>
      </w:r>
      <w:r w:rsidR="00EB4D9A" w:rsidRPr="00E76739">
        <w:rPr>
          <w:rFonts w:ascii="Calibri" w:eastAsia="Calibri" w:hAnsi="Calibri" w:cs="Times New Roman"/>
          <w:i/>
          <w:sz w:val="20"/>
          <w:szCs w:val="20"/>
          <w:lang w:val="en-GB" w:eastAsia="zh-CN"/>
        </w:rPr>
        <w:t>speciali</w:t>
      </w:r>
      <w:r w:rsidR="00EB4D9A">
        <w:rPr>
          <w:rFonts w:ascii="Calibri" w:eastAsia="Calibri" w:hAnsi="Calibri" w:cs="Times New Roman"/>
          <w:i/>
          <w:sz w:val="20"/>
          <w:szCs w:val="20"/>
          <w:lang w:val="en-GB" w:eastAsia="zh-CN"/>
        </w:rPr>
        <w:t>z</w:t>
      </w:r>
      <w:r w:rsidR="00EB4D9A" w:rsidRPr="00E76739">
        <w:rPr>
          <w:rFonts w:ascii="Calibri" w:eastAsia="Calibri" w:hAnsi="Calibri" w:cs="Times New Roman"/>
          <w:i/>
          <w:sz w:val="20"/>
          <w:szCs w:val="20"/>
          <w:lang w:val="en-GB" w:eastAsia="zh-CN"/>
        </w:rPr>
        <w:t xml:space="preserve">ation </w:t>
      </w:r>
      <w:r w:rsidRPr="00E76739">
        <w:rPr>
          <w:rFonts w:ascii="Calibri" w:eastAsia="Calibri" w:hAnsi="Calibri" w:cs="Times New Roman"/>
          <w:i/>
          <w:sz w:val="20"/>
          <w:szCs w:val="20"/>
          <w:lang w:val="en-GB" w:eastAsia="zh-CN"/>
        </w:rPr>
        <w:t xml:space="preserve">in dealing with ML/TF cases. Pink clouds designate the ML/TF database simultaneously available to multiple agencies (law enforcement and FIU) that is commonly used as </w:t>
      </w:r>
      <w:r w:rsidR="00EB4D9A">
        <w:rPr>
          <w:rFonts w:ascii="Calibri" w:eastAsia="Calibri" w:hAnsi="Calibri" w:cs="Times New Roman"/>
          <w:i/>
          <w:sz w:val="20"/>
          <w:szCs w:val="20"/>
          <w:lang w:val="en-GB" w:eastAsia="zh-CN"/>
        </w:rPr>
        <w:t xml:space="preserve">the </w:t>
      </w:r>
      <w:r w:rsidR="00EB4D9A" w:rsidRPr="00E76739">
        <w:rPr>
          <w:rFonts w:ascii="Calibri" w:eastAsia="Calibri" w:hAnsi="Calibri" w:cs="Times New Roman"/>
          <w:i/>
          <w:sz w:val="20"/>
          <w:szCs w:val="20"/>
          <w:lang w:val="en-GB" w:eastAsia="zh-CN"/>
        </w:rPr>
        <w:t>depart</w:t>
      </w:r>
      <w:r w:rsidR="00EB4D9A">
        <w:rPr>
          <w:rFonts w:ascii="Calibri" w:eastAsia="Calibri" w:hAnsi="Calibri" w:cs="Times New Roman"/>
          <w:i/>
          <w:sz w:val="20"/>
          <w:szCs w:val="20"/>
          <w:lang w:val="en-GB" w:eastAsia="zh-CN"/>
        </w:rPr>
        <w:t>ure</w:t>
      </w:r>
      <w:r w:rsidR="00EB4D9A" w:rsidRPr="00E76739">
        <w:rPr>
          <w:rFonts w:ascii="Calibri" w:eastAsia="Calibri" w:hAnsi="Calibri" w:cs="Times New Roman"/>
          <w:i/>
          <w:sz w:val="20"/>
          <w:szCs w:val="20"/>
          <w:lang w:val="en-GB" w:eastAsia="zh-CN"/>
        </w:rPr>
        <w:t xml:space="preserve"> </w:t>
      </w:r>
      <w:r w:rsidRPr="00E76739">
        <w:rPr>
          <w:rFonts w:ascii="Calibri" w:eastAsia="Calibri" w:hAnsi="Calibri" w:cs="Times New Roman"/>
          <w:i/>
          <w:sz w:val="20"/>
          <w:szCs w:val="20"/>
          <w:lang w:val="en-GB" w:eastAsia="zh-CN"/>
        </w:rPr>
        <w:t>point for ML/TF criminal investigations</w:t>
      </w:r>
      <w:r w:rsidRPr="00E76739">
        <w:rPr>
          <w:rFonts w:ascii="Calibri" w:eastAsia="Calibri" w:hAnsi="Calibri" w:cs="Times New Roman"/>
          <w:i/>
          <w:lang w:val="en-GB" w:eastAsia="zh-CN"/>
        </w:rPr>
        <w:t>.</w:t>
      </w:r>
    </w:p>
    <w:p w14:paraId="1F751FD1" w14:textId="77777777" w:rsidR="00E76739" w:rsidRPr="00E76739" w:rsidRDefault="00E76739" w:rsidP="00E76739">
      <w:pPr>
        <w:spacing w:after="240" w:line="240" w:lineRule="auto"/>
        <w:jc w:val="both"/>
        <w:rPr>
          <w:rFonts w:ascii="Calibri" w:eastAsia="Calibri" w:hAnsi="Calibri" w:cs="Times New Roman"/>
          <w:i/>
          <w:lang w:val="en-GB" w:eastAsia="zh-CN"/>
        </w:rPr>
      </w:pPr>
      <w:r w:rsidRPr="00E76739">
        <w:rPr>
          <w:rFonts w:ascii="Calibri" w:eastAsia="Calibri" w:hAnsi="Calibri" w:cs="Times New Roman"/>
          <w:i/>
          <w:lang w:val="en-GB" w:eastAsia="zh-CN"/>
        </w:rPr>
        <w:t>Investigative offices and prosecution services handling ML/TF cases</w:t>
      </w:r>
    </w:p>
    <w:p w14:paraId="6B525E0E" w14:textId="617CA781"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In the common law system of the UK, public prosecutors do not head an investigation by police or other law enforcement authorities. Investigators are independent and are not instructed by public prosecutors. However, where a case gets more complex or serious (the type of offence), investigators tend to ask prosecutors </w:t>
      </w:r>
      <w:r w:rsidR="00897D09">
        <w:rPr>
          <w:rFonts w:ascii="Calibri" w:eastAsia="Calibri" w:hAnsi="Calibri" w:cs="Times New Roman"/>
          <w:lang w:val="en-GB" w:eastAsia="zh-CN"/>
        </w:rPr>
        <w:t>for advice</w:t>
      </w:r>
      <w:r w:rsidR="00897D09"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from the outset of a criminal investigation. This way, Crown Prosecution Services (CPS) is involved almost from the outset of a financial investigation. Investigations can take several years if financial investigative tools are used, due to the complexity of such cases </w:t>
      </w:r>
      <w:r w:rsidR="00897D09">
        <w:rPr>
          <w:rFonts w:ascii="Calibri" w:eastAsia="Calibri" w:hAnsi="Calibri" w:cs="Times New Roman"/>
          <w:lang w:val="en-GB" w:eastAsia="zh-CN"/>
        </w:rPr>
        <w:t>–</w:t>
      </w:r>
      <w:r w:rsidRPr="00E76739">
        <w:rPr>
          <w:rFonts w:ascii="Calibri" w:eastAsia="Calibri" w:hAnsi="Calibri" w:cs="Times New Roman"/>
          <w:lang w:val="en-GB" w:eastAsia="zh-CN"/>
        </w:rPr>
        <w:t xml:space="preserve"> often various interim measures must be requested </w:t>
      </w:r>
      <w:r w:rsidR="00897D09">
        <w:rPr>
          <w:rFonts w:ascii="Calibri" w:eastAsia="Calibri" w:hAnsi="Calibri" w:cs="Times New Roman"/>
          <w:lang w:val="en-GB" w:eastAsia="zh-CN"/>
        </w:rPr>
        <w:t>of</w:t>
      </w:r>
      <w:r w:rsidR="00897D09"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 xml:space="preserve">courts and mutual legal assistance may be necessary. For this, investigators need prosecutors to obtain the relevant orders. </w:t>
      </w:r>
    </w:p>
    <w:p w14:paraId="51EF23B7" w14:textId="7777777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police are divided into 43 local police forces. London has two police forces: London City Police and London Metropolitan Police. The most important law enforcement agencies in the field of AML/CTF policy are SOCA and Her Majesty’s Revenue and Customs (HMRC). Smaller cases are investigated by local police and also tried by local CPS prosecutors. The more serious cases are usually investigated by SOCA and taken up by CPS HQ Central Divisions. </w:t>
      </w:r>
    </w:p>
    <w:p w14:paraId="5E39FB38" w14:textId="69C87AB7" w:rsidR="00E76739" w:rsidRPr="00E76739" w:rsidRDefault="00E76739" w:rsidP="00E76739">
      <w:pPr>
        <w:spacing w:after="240" w:line="240" w:lineRule="auto"/>
        <w:jc w:val="both"/>
        <w:rPr>
          <w:rFonts w:ascii="Calibri" w:eastAsia="Calibri" w:hAnsi="Calibri" w:cs="Times New Roman"/>
          <w:lang w:val="en-GB" w:eastAsia="zh-CN"/>
        </w:rPr>
      </w:pPr>
      <w:r w:rsidRPr="00E76739">
        <w:rPr>
          <w:rFonts w:ascii="Calibri" w:eastAsia="Calibri" w:hAnsi="Calibri" w:cs="Times New Roman"/>
          <w:lang w:val="en-GB" w:eastAsia="zh-CN"/>
        </w:rPr>
        <w:t xml:space="preserve">The CPS used to have 42 local CPS areas that coincided with the </w:t>
      </w:r>
      <w:r w:rsidR="00897D09">
        <w:rPr>
          <w:rFonts w:ascii="Calibri" w:eastAsia="Calibri" w:hAnsi="Calibri" w:cs="Times New Roman"/>
          <w:lang w:val="en-GB" w:eastAsia="zh-CN"/>
        </w:rPr>
        <w:t>division</w:t>
      </w:r>
      <w:r w:rsidR="00897D09" w:rsidRPr="00E76739">
        <w:rPr>
          <w:rFonts w:ascii="Calibri" w:eastAsia="Calibri" w:hAnsi="Calibri" w:cs="Times New Roman"/>
          <w:lang w:val="en-GB" w:eastAsia="zh-CN"/>
        </w:rPr>
        <w:t xml:space="preserve"> </w:t>
      </w:r>
      <w:r w:rsidR="00897D09">
        <w:rPr>
          <w:rFonts w:ascii="Calibri" w:eastAsia="Calibri" w:hAnsi="Calibri" w:cs="Times New Roman"/>
          <w:lang w:val="en-GB" w:eastAsia="zh-CN"/>
        </w:rPr>
        <w:t xml:space="preserve">of the </w:t>
      </w:r>
      <w:r w:rsidRPr="00E76739">
        <w:rPr>
          <w:rFonts w:ascii="Calibri" w:eastAsia="Calibri" w:hAnsi="Calibri" w:cs="Times New Roman"/>
          <w:lang w:val="en-GB" w:eastAsia="zh-CN"/>
        </w:rPr>
        <w:t xml:space="preserve">police forces, but this has recently been reduced to </w:t>
      </w:r>
      <w:r w:rsidR="00897D09">
        <w:rPr>
          <w:rFonts w:ascii="Calibri" w:eastAsia="Calibri" w:hAnsi="Calibri" w:cs="Times New Roman"/>
          <w:lang w:val="en-GB" w:eastAsia="zh-CN"/>
        </w:rPr>
        <w:t>12</w:t>
      </w:r>
      <w:r w:rsidR="00897D09"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regional teams. Furthermore, CPS has taken over the prosecution functions from DEFRA.</w:t>
      </w:r>
      <w:r w:rsidRPr="00E76739">
        <w:rPr>
          <w:rFonts w:ascii="Calibri" w:eastAsia="Calibri" w:hAnsi="Calibri" w:cs="Times New Roman"/>
          <w:vertAlign w:val="superscript"/>
          <w:lang w:val="en-GB" w:eastAsia="zh-CN"/>
        </w:rPr>
        <w:footnoteReference w:id="80"/>
      </w:r>
      <w:r w:rsidRPr="00E76739">
        <w:rPr>
          <w:rFonts w:ascii="Calibri" w:eastAsia="Calibri" w:hAnsi="Calibri" w:cs="Times New Roman"/>
          <w:lang w:val="en-GB" w:eastAsia="zh-CN"/>
        </w:rPr>
        <w:t xml:space="preserve"> In general, there is a move towards positioning the CPS as the single prosecution authority in England and Wales. Until two years ago, CPS only prosecuted cases that were investigated by the police. Since CPS merged with HM Revenue and Customs (prosecution branch), it </w:t>
      </w:r>
      <w:r w:rsidR="00897D09">
        <w:rPr>
          <w:rFonts w:ascii="Calibri" w:eastAsia="Calibri" w:hAnsi="Calibri" w:cs="Times New Roman"/>
          <w:lang w:val="en-GB" w:eastAsia="zh-CN"/>
        </w:rPr>
        <w:t>has</w:t>
      </w:r>
      <w:r w:rsidR="00897D09" w:rsidRPr="00E76739">
        <w:rPr>
          <w:rFonts w:ascii="Calibri" w:eastAsia="Calibri" w:hAnsi="Calibri" w:cs="Times New Roman"/>
          <w:lang w:val="en-GB" w:eastAsia="zh-CN"/>
        </w:rPr>
        <w:t xml:space="preserve"> take</w:t>
      </w:r>
      <w:r w:rsidR="00897D09">
        <w:rPr>
          <w:rFonts w:ascii="Calibri" w:eastAsia="Calibri" w:hAnsi="Calibri" w:cs="Times New Roman"/>
          <w:lang w:val="en-GB" w:eastAsia="zh-CN"/>
        </w:rPr>
        <w:t>n</w:t>
      </w:r>
      <w:r w:rsidR="00897D09" w:rsidRPr="00E76739">
        <w:rPr>
          <w:rFonts w:ascii="Calibri" w:eastAsia="Calibri" w:hAnsi="Calibri" w:cs="Times New Roman"/>
          <w:lang w:val="en-GB" w:eastAsia="zh-CN"/>
        </w:rPr>
        <w:t xml:space="preserve"> </w:t>
      </w:r>
      <w:r w:rsidRPr="00E76739">
        <w:rPr>
          <w:rFonts w:ascii="Calibri" w:eastAsia="Calibri" w:hAnsi="Calibri" w:cs="Times New Roman"/>
          <w:lang w:val="en-GB" w:eastAsia="zh-CN"/>
        </w:rPr>
        <w:t>up prosecutions originally investigated by HMRC – including ML prosecutions</w:t>
      </w:r>
      <w:r w:rsidRPr="00E76739">
        <w:rPr>
          <w:rFonts w:ascii="Calibri" w:eastAsia="Calibri" w:hAnsi="Calibri" w:cs="Times New Roman"/>
          <w:vertAlign w:val="superscript"/>
          <w:lang w:val="en-GB" w:eastAsia="zh-CN"/>
        </w:rPr>
        <w:footnoteReference w:id="81"/>
      </w:r>
      <w:r w:rsidRPr="00E76739">
        <w:rPr>
          <w:rFonts w:ascii="Calibri" w:eastAsia="Calibri" w:hAnsi="Calibri" w:cs="Times New Roman"/>
          <w:lang w:val="en-GB" w:eastAsia="zh-CN"/>
        </w:rPr>
        <w:t xml:space="preserve"> There is another prosecution body in the field of AML/CTF policy, which is the Serious Fraud Office. This is a very small prosecutorial body, which only deals with very serious fraud cases where a value of 1 million GBP or more is involved. The SFO has its own financial investigators. </w:t>
      </w:r>
    </w:p>
    <w:p w14:paraId="71678814" w14:textId="77777777" w:rsidR="00E330CB" w:rsidRDefault="00E330CB"/>
    <w:sectPr w:rsidR="00E330CB" w:rsidSect="00E330C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Virginia Williams" w:date="2013-11-20T11:40:00Z" w:initials="VW">
    <w:p w14:paraId="7AA47921" w14:textId="313E57BD" w:rsidR="00972546" w:rsidRDefault="00972546">
      <w:pPr>
        <w:pStyle w:val="CommentText"/>
      </w:pPr>
      <w:r>
        <w:rPr>
          <w:rStyle w:val="CommentReference"/>
        </w:rPr>
        <w:annotationRef/>
      </w:r>
      <w:r>
        <w:t>In figure, replace ‘Brussel’ by ‘Brussels’</w:t>
      </w:r>
    </w:p>
  </w:comment>
  <w:comment w:id="39" w:author="Virginia Williams" w:date="2013-11-20T17:24:00Z" w:initials="VW">
    <w:p w14:paraId="2615BAC5" w14:textId="2E520CDC" w:rsidR="00972546" w:rsidRDefault="00972546">
      <w:pPr>
        <w:pStyle w:val="CommentText"/>
      </w:pPr>
      <w:r>
        <w:rPr>
          <w:rStyle w:val="CommentReference"/>
        </w:rPr>
        <w:annotationRef/>
      </w:r>
      <w:r>
        <w:t>In figure, replace ‘prosecutords’ with ‘prosecutors’</w:t>
      </w:r>
    </w:p>
  </w:comment>
  <w:comment w:id="52" w:author="Virginia Williams" w:date="2013-11-20T18:22:00Z" w:initials="VW">
    <w:p w14:paraId="4F3ECC0F" w14:textId="3A2E8546" w:rsidR="00972546" w:rsidRDefault="00972546">
      <w:pPr>
        <w:pStyle w:val="CommentText"/>
      </w:pPr>
      <w:r>
        <w:rPr>
          <w:rStyle w:val="CommentReference"/>
        </w:rPr>
        <w:annotationRef/>
      </w:r>
      <w:r>
        <w:rPr>
          <w:rFonts w:ascii="Calibri" w:eastAsia="Calibri" w:hAnsi="Calibri" w:cs="Times New Roman"/>
          <w:lang w:val="en-GB" w:eastAsia="zh-CN"/>
        </w:rPr>
        <w:t>‘Siochana’ → ‘Síochána’</w:t>
      </w:r>
    </w:p>
  </w:comment>
  <w:comment w:id="53" w:author="Virginia Williams" w:date="2013-11-20T18:23:00Z" w:initials="VW">
    <w:p w14:paraId="62C68525" w14:textId="30F59F50" w:rsidR="00972546" w:rsidRDefault="00972546">
      <w:pPr>
        <w:pStyle w:val="CommentText"/>
      </w:pPr>
      <w:r>
        <w:rPr>
          <w:rStyle w:val="CommentReference"/>
        </w:rPr>
        <w:annotationRef/>
      </w:r>
      <w:r>
        <w:t>‘&amp;UK’ - insert space: ‘&amp; UK’</w:t>
      </w:r>
    </w:p>
  </w:comment>
  <w:comment w:id="62" w:author="Virginia Williams" w:date="2013-11-21T14:13:00Z" w:initials="VW">
    <w:p w14:paraId="0BA85498" w14:textId="49F362FA" w:rsidR="00972546" w:rsidRDefault="00972546">
      <w:pPr>
        <w:pStyle w:val="CommentText"/>
      </w:pPr>
      <w:r>
        <w:rPr>
          <w:rStyle w:val="CommentReference"/>
        </w:rPr>
        <w:annotationRef/>
      </w:r>
      <w:r>
        <w:t>In figure: ‘Organised’ → ‘Organized’</w:t>
      </w:r>
    </w:p>
  </w:comment>
  <w:comment w:id="75" w:author="Virginia Williams" w:date="2013-11-21T14:41:00Z" w:initials="VW">
    <w:p w14:paraId="321B7AD4" w14:textId="3CA5A5F6" w:rsidR="00972546" w:rsidRDefault="00972546">
      <w:pPr>
        <w:pStyle w:val="CommentText"/>
      </w:pPr>
      <w:r>
        <w:rPr>
          <w:rStyle w:val="CommentReference"/>
        </w:rPr>
        <w:annotationRef/>
      </w:r>
      <w:r>
        <w:t>‘Attorney General Office’ → ‘Attorney General’s Office’</w:t>
      </w:r>
    </w:p>
  </w:comment>
  <w:comment w:id="80" w:author="Virginia Williams" w:date="2013-11-21T14:43:00Z" w:initials="VW">
    <w:p w14:paraId="0A081ED6" w14:textId="05D99203" w:rsidR="00972546" w:rsidRDefault="00972546">
      <w:pPr>
        <w:pStyle w:val="CommentText"/>
      </w:pPr>
      <w:r>
        <w:rPr>
          <w:rStyle w:val="CommentReference"/>
        </w:rPr>
        <w:annotationRef/>
      </w:r>
      <w:r>
        <w:t>In figure, ‘Signaling’ → ‘Signalling’</w:t>
      </w:r>
    </w:p>
  </w:comment>
  <w:comment w:id="96" w:author="Virginia Williams" w:date="2013-11-21T15:49:00Z" w:initials="VW">
    <w:p w14:paraId="4A652135" w14:textId="38CC1AAB" w:rsidR="00972546" w:rsidRDefault="00972546">
      <w:pPr>
        <w:pStyle w:val="CommentText"/>
      </w:pPr>
      <w:r>
        <w:rPr>
          <w:rStyle w:val="CommentReference"/>
        </w:rPr>
        <w:annotationRef/>
      </w:r>
      <w:r>
        <w:t>2011b?</w:t>
      </w:r>
    </w:p>
  </w:comment>
  <w:comment w:id="97" w:author="Virginia Williams" w:date="2013-11-21T15:51:00Z" w:initials="VW">
    <w:p w14:paraId="196C4534" w14:textId="195C9264" w:rsidR="00972546" w:rsidRDefault="00972546">
      <w:pPr>
        <w:pStyle w:val="CommentText"/>
      </w:pPr>
      <w:r>
        <w:rPr>
          <w:rStyle w:val="CommentReference"/>
        </w:rPr>
        <w:annotationRef/>
      </w:r>
      <w:r>
        <w:t>2011b?</w:t>
      </w:r>
    </w:p>
  </w:comment>
  <w:comment w:id="98" w:author="Virginia Williams" w:date="2013-11-21T15:51:00Z" w:initials="VW">
    <w:p w14:paraId="6DAC919E" w14:textId="105B4B18" w:rsidR="00972546" w:rsidRDefault="00972546">
      <w:pPr>
        <w:pStyle w:val="CommentText"/>
      </w:pPr>
      <w:r>
        <w:rPr>
          <w:rStyle w:val="CommentReference"/>
        </w:rPr>
        <w:annotationRef/>
      </w:r>
    </w:p>
  </w:comment>
  <w:comment w:id="99" w:author="Virginia Williams" w:date="2013-11-21T15:51:00Z" w:initials="VW">
    <w:p w14:paraId="0F68C26D" w14:textId="708F170A" w:rsidR="00972546" w:rsidRDefault="00972546">
      <w:pPr>
        <w:pStyle w:val="CommentText"/>
      </w:pPr>
      <w:r>
        <w:rPr>
          <w:rStyle w:val="CommentReference"/>
        </w:rPr>
        <w:annotationRef/>
      </w:r>
      <w:r>
        <w:t>2011b?</w:t>
      </w:r>
    </w:p>
  </w:comment>
  <w:comment w:id="115" w:author="Virginia Williams" w:date="2013-11-21T17:25:00Z" w:initials="VW">
    <w:p w14:paraId="1F436AC7" w14:textId="04DD37A5" w:rsidR="00972546" w:rsidRDefault="00972546">
      <w:pPr>
        <w:pStyle w:val="CommentText"/>
      </w:pPr>
      <w:r>
        <w:rPr>
          <w:rStyle w:val="CommentReference"/>
        </w:rPr>
        <w:annotationRef/>
      </w:r>
      <w:r>
        <w:t>In figure ‘SARS&amp;’ → ‘SARS &amp;’</w:t>
      </w:r>
    </w:p>
  </w:comment>
  <w:comment w:id="116" w:author="Virginia Williams" w:date="2013-11-21T17:56:00Z" w:initials="VW">
    <w:p w14:paraId="3D14B755" w14:textId="35AC60B3" w:rsidR="00972546" w:rsidRDefault="00972546">
      <w:pPr>
        <w:pStyle w:val="CommentText"/>
      </w:pPr>
      <w:r>
        <w:rPr>
          <w:rStyle w:val="CommentReference"/>
        </w:rPr>
        <w:annotationRef/>
      </w:r>
      <w:r>
        <w:t>In figure ‘UKFIU’ → ‘UK FIU’</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A47921" w15:done="0"/>
  <w15:commentEx w15:paraId="2615BAC5" w15:done="0"/>
  <w15:commentEx w15:paraId="4F3ECC0F" w15:done="0"/>
  <w15:commentEx w15:paraId="62C68525" w15:paraIdParent="4F3ECC0F" w15:done="0"/>
  <w15:commentEx w15:paraId="0BA85498" w15:done="0"/>
  <w15:commentEx w15:paraId="321B7AD4" w15:done="0"/>
  <w15:commentEx w15:paraId="0A081ED6" w15:done="0"/>
  <w15:commentEx w15:paraId="4A652135" w15:done="0"/>
  <w15:commentEx w15:paraId="196C4534" w15:done="0"/>
  <w15:commentEx w15:paraId="6DAC919E" w15:paraIdParent="196C4534" w15:done="0"/>
  <w15:commentEx w15:paraId="0F68C26D" w15:done="0"/>
  <w15:commentEx w15:paraId="1F436AC7" w15:done="0"/>
  <w15:commentEx w15:paraId="3D14B75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ACB7B" w14:textId="77777777" w:rsidR="00AF792D" w:rsidRDefault="00AF792D" w:rsidP="00E76739">
      <w:pPr>
        <w:spacing w:after="0" w:line="240" w:lineRule="auto"/>
      </w:pPr>
      <w:r>
        <w:separator/>
      </w:r>
    </w:p>
  </w:endnote>
  <w:endnote w:type="continuationSeparator" w:id="0">
    <w:p w14:paraId="5AF65C8C" w14:textId="77777777" w:rsidR="00AF792D" w:rsidRDefault="00AF792D" w:rsidP="00E76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5B328" w14:textId="77777777" w:rsidR="00AF792D" w:rsidRDefault="00AF792D" w:rsidP="00E76739">
      <w:pPr>
        <w:spacing w:after="0" w:line="240" w:lineRule="auto"/>
      </w:pPr>
      <w:r>
        <w:separator/>
      </w:r>
    </w:p>
  </w:footnote>
  <w:footnote w:type="continuationSeparator" w:id="0">
    <w:p w14:paraId="18AC9197" w14:textId="77777777" w:rsidR="00AF792D" w:rsidRDefault="00AF792D" w:rsidP="00E76739">
      <w:pPr>
        <w:spacing w:after="0" w:line="240" w:lineRule="auto"/>
      </w:pPr>
      <w:r>
        <w:continuationSeparator/>
      </w:r>
    </w:p>
  </w:footnote>
  <w:footnote w:id="1">
    <w:p w14:paraId="57D000F2" w14:textId="4B18A97A" w:rsidR="00972546" w:rsidRPr="000E233C" w:rsidRDefault="00972546" w:rsidP="0006291F">
      <w:pPr>
        <w:pStyle w:val="FootnoteText"/>
        <w:rPr>
          <w:i/>
          <w:sz w:val="18"/>
          <w:lang w:val="en-US"/>
        </w:rPr>
      </w:pPr>
      <w:r>
        <w:rPr>
          <w:rStyle w:val="FootnoteReference"/>
        </w:rPr>
        <w:footnoteRef/>
      </w:r>
      <w:r w:rsidRPr="000E233C">
        <w:rPr>
          <w:lang w:val="en-US"/>
        </w:rPr>
        <w:t xml:space="preserve"> </w:t>
      </w:r>
      <w:r w:rsidRPr="003E5910">
        <w:rPr>
          <w:sz w:val="18"/>
          <w:lang w:val="en-US"/>
        </w:rPr>
        <w:t xml:space="preserve">This is an online appendix to </w:t>
      </w:r>
      <w:r w:rsidRPr="000E233C">
        <w:rPr>
          <w:i/>
          <w:sz w:val="18"/>
          <w:lang w:val="en-US"/>
        </w:rPr>
        <w:t>The Economic and Legal Effectiveness of the European Union’s Anti-Money Laundering Policy</w:t>
      </w:r>
      <w:r w:rsidRPr="003E5910">
        <w:rPr>
          <w:sz w:val="18"/>
          <w:lang w:val="en-US"/>
        </w:rPr>
        <w:t xml:space="preserve">, </w:t>
      </w:r>
      <w:r>
        <w:rPr>
          <w:sz w:val="18"/>
          <w:lang w:val="en-US"/>
        </w:rPr>
        <w:t>C</w:t>
      </w:r>
      <w:r w:rsidRPr="003E5910">
        <w:rPr>
          <w:sz w:val="18"/>
          <w:lang w:val="en-US"/>
        </w:rPr>
        <w:t>hapter 8.</w:t>
      </w:r>
    </w:p>
  </w:footnote>
  <w:footnote w:id="2">
    <w:p w14:paraId="61C13521" w14:textId="58C36838"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FIU Austria (2011</w:t>
      </w:r>
      <w:r w:rsidRPr="003E5910">
        <w:rPr>
          <w:rFonts w:asciiTheme="minorHAnsi" w:hAnsiTheme="minorHAnsi" w:cstheme="minorHAnsi"/>
          <w:lang w:val="en-US"/>
        </w:rPr>
        <w:t xml:space="preserve">), </w:t>
      </w:r>
      <w:r>
        <w:rPr>
          <w:rFonts w:asciiTheme="minorHAnsi" w:hAnsiTheme="minorHAnsi" w:cstheme="minorHAnsi"/>
          <w:lang w:val="en-US"/>
        </w:rPr>
        <w:t>‘</w:t>
      </w:r>
      <w:r w:rsidRPr="003E5910">
        <w:rPr>
          <w:rFonts w:asciiTheme="minorHAnsi" w:hAnsiTheme="minorHAnsi" w:cstheme="minorHAnsi"/>
          <w:lang w:val="en-US"/>
        </w:rPr>
        <w:t xml:space="preserve">Annual </w:t>
      </w:r>
      <w:r>
        <w:rPr>
          <w:rFonts w:asciiTheme="minorHAnsi" w:hAnsiTheme="minorHAnsi" w:cstheme="minorHAnsi"/>
          <w:lang w:val="en-US"/>
        </w:rPr>
        <w:t>R</w:t>
      </w:r>
      <w:r w:rsidRPr="003E5910">
        <w:rPr>
          <w:rFonts w:asciiTheme="minorHAnsi" w:hAnsiTheme="minorHAnsi" w:cstheme="minorHAnsi"/>
          <w:lang w:val="en-US"/>
        </w:rPr>
        <w:t>eport</w:t>
      </w:r>
      <w:r>
        <w:rPr>
          <w:rFonts w:asciiTheme="minorHAnsi" w:hAnsiTheme="minorHAnsi" w:cstheme="minorHAnsi"/>
          <w:lang w:val="en-US"/>
        </w:rPr>
        <w:t>’</w:t>
      </w:r>
      <w:r w:rsidRPr="00D403BE">
        <w:rPr>
          <w:rFonts w:asciiTheme="minorHAnsi" w:hAnsiTheme="minorHAnsi" w:cstheme="minorHAnsi"/>
          <w:lang w:val="en-US"/>
        </w:rPr>
        <w:t>,</w:t>
      </w:r>
      <w:r w:rsidRPr="000E233C">
        <w:rPr>
          <w:rFonts w:asciiTheme="minorHAnsi" w:hAnsiTheme="minorHAnsi" w:cstheme="minorHAnsi"/>
          <w:lang w:val="en-US"/>
        </w:rPr>
        <w:t xml:space="preserve"> p. 11</w:t>
      </w:r>
      <w:r>
        <w:rPr>
          <w:rFonts w:asciiTheme="minorHAnsi" w:hAnsiTheme="minorHAnsi" w:cstheme="minorHAnsi"/>
          <w:lang w:val="en-US"/>
        </w:rPr>
        <w:t>.</w:t>
      </w:r>
    </w:p>
  </w:footnote>
  <w:footnote w:id="3">
    <w:p w14:paraId="4C201E6F" w14:textId="25D24F25"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sz w:val="16"/>
          <w:szCs w:val="16"/>
        </w:rPr>
        <w:footnoteRef/>
      </w:r>
      <w:r w:rsidRPr="000E233C">
        <w:rPr>
          <w:rFonts w:asciiTheme="minorHAnsi" w:hAnsiTheme="minorHAnsi" w:cstheme="minorHAnsi"/>
          <w:lang w:val="en-US"/>
        </w:rPr>
        <w:t xml:space="preserve"> FATF</w:t>
      </w:r>
      <w:r>
        <w:rPr>
          <w:rFonts w:asciiTheme="minorHAnsi" w:hAnsiTheme="minorHAnsi" w:cstheme="minorHAnsi"/>
          <w:lang w:val="en-US"/>
        </w:rPr>
        <w:t xml:space="preserve"> </w:t>
      </w:r>
      <w:r w:rsidRPr="000E233C">
        <w:rPr>
          <w:rFonts w:asciiTheme="minorHAnsi" w:hAnsiTheme="minorHAnsi" w:cstheme="minorHAnsi"/>
          <w:lang w:val="en-US"/>
        </w:rPr>
        <w:t>(2009</w:t>
      </w:r>
      <w:r>
        <w:rPr>
          <w:rFonts w:asciiTheme="minorHAnsi" w:hAnsiTheme="minorHAnsi" w:cstheme="minorHAnsi"/>
          <w:lang w:val="en-US"/>
        </w:rPr>
        <w:t>c</w:t>
      </w:r>
      <w:r w:rsidRPr="000E233C">
        <w:rPr>
          <w:rFonts w:asciiTheme="minorHAnsi" w:hAnsiTheme="minorHAnsi" w:cstheme="minorHAnsi"/>
          <w:lang w:val="en-US"/>
        </w:rPr>
        <w:t>)</w:t>
      </w:r>
      <w:r w:rsidRPr="003E5910">
        <w:rPr>
          <w:rFonts w:asciiTheme="minorHAnsi" w:hAnsiTheme="minorHAnsi" w:cstheme="minorHAnsi"/>
          <w:i/>
          <w:lang w:val="en-US"/>
        </w:rPr>
        <w:t>,</w:t>
      </w:r>
      <w:r>
        <w:rPr>
          <w:rFonts w:asciiTheme="minorHAnsi" w:hAnsiTheme="minorHAnsi" w:cstheme="minorHAnsi"/>
          <w:lang w:val="en-US"/>
        </w:rPr>
        <w:t xml:space="preserve"> </w:t>
      </w:r>
      <w:r w:rsidRPr="000E233C">
        <w:rPr>
          <w:rFonts w:asciiTheme="minorHAnsi" w:hAnsiTheme="minorHAnsi" w:cstheme="minorHAnsi"/>
          <w:lang w:val="en-US"/>
        </w:rPr>
        <w:t>p. 75</w:t>
      </w:r>
      <w:r>
        <w:rPr>
          <w:rFonts w:asciiTheme="minorHAnsi" w:hAnsiTheme="minorHAnsi" w:cstheme="minorHAnsi"/>
          <w:lang w:val="en-US"/>
        </w:rPr>
        <w:t>.</w:t>
      </w:r>
    </w:p>
  </w:footnote>
  <w:footnote w:id="4">
    <w:p w14:paraId="073C744D" w14:textId="10330A7F"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sz w:val="16"/>
          <w:szCs w:val="16"/>
        </w:rPr>
        <w:footnoteRef/>
      </w:r>
      <w:r>
        <w:rPr>
          <w:rFonts w:asciiTheme="minorHAnsi" w:hAnsiTheme="minorHAnsi" w:cstheme="minorHAnsi"/>
          <w:i/>
          <w:lang w:val="en-US"/>
        </w:rPr>
        <w:t xml:space="preserve"> </w:t>
      </w:r>
      <w:r w:rsidRPr="003E5910">
        <w:rPr>
          <w:rFonts w:asciiTheme="minorHAnsi" w:hAnsiTheme="minorHAnsi" w:cstheme="minorHAnsi"/>
          <w:lang w:val="en-US"/>
        </w:rPr>
        <w:t>Ibid</w:t>
      </w:r>
      <w:r w:rsidRPr="00D403BE">
        <w:rPr>
          <w:rFonts w:asciiTheme="minorHAnsi" w:hAnsiTheme="minorHAnsi" w:cstheme="minorHAnsi"/>
          <w:lang w:val="en-US"/>
        </w:rPr>
        <w:t xml:space="preserve">., </w:t>
      </w:r>
      <w:r w:rsidRPr="000E233C">
        <w:rPr>
          <w:rFonts w:asciiTheme="minorHAnsi" w:hAnsiTheme="minorHAnsi" w:cstheme="minorHAnsi"/>
          <w:lang w:val="en-US"/>
        </w:rPr>
        <w:t>p. 81</w:t>
      </w:r>
      <w:r>
        <w:rPr>
          <w:rFonts w:asciiTheme="minorHAnsi" w:hAnsiTheme="minorHAnsi" w:cstheme="minorHAnsi"/>
          <w:lang w:val="en-US"/>
        </w:rPr>
        <w:t>.</w:t>
      </w:r>
    </w:p>
  </w:footnote>
  <w:footnote w:id="5">
    <w:p w14:paraId="354657A2" w14:textId="16A34FB3"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sz w:val="16"/>
          <w:szCs w:val="16"/>
        </w:rPr>
        <w:footnoteRef/>
      </w:r>
      <w:r w:rsidRPr="000E233C">
        <w:rPr>
          <w:rFonts w:asciiTheme="minorHAnsi" w:hAnsiTheme="minorHAnsi" w:cstheme="minorHAnsi"/>
          <w:lang w:val="en-US"/>
        </w:rPr>
        <w:t xml:space="preserve"> </w:t>
      </w:r>
      <w:r>
        <w:rPr>
          <w:rFonts w:asciiTheme="minorHAnsi" w:hAnsiTheme="minorHAnsi" w:cstheme="minorHAnsi"/>
          <w:lang w:val="en-US"/>
        </w:rPr>
        <w:t>Ibid.,</w:t>
      </w:r>
      <w:r w:rsidRPr="000E233C">
        <w:rPr>
          <w:rFonts w:asciiTheme="minorHAnsi" w:hAnsiTheme="minorHAnsi" w:cstheme="minorHAnsi"/>
          <w:lang w:val="en-US"/>
        </w:rPr>
        <w:t xml:space="preserve"> p.</w:t>
      </w:r>
      <w:r>
        <w:rPr>
          <w:rFonts w:asciiTheme="minorHAnsi" w:hAnsiTheme="minorHAnsi" w:cstheme="minorHAnsi"/>
          <w:lang w:val="en-US"/>
        </w:rPr>
        <w:t xml:space="preserve"> </w:t>
      </w:r>
      <w:r w:rsidRPr="000E233C">
        <w:rPr>
          <w:rFonts w:asciiTheme="minorHAnsi" w:hAnsiTheme="minorHAnsi" w:cstheme="minorHAnsi"/>
          <w:lang w:val="en-US"/>
        </w:rPr>
        <w:t>81</w:t>
      </w:r>
      <w:r>
        <w:rPr>
          <w:rFonts w:asciiTheme="minorHAnsi" w:hAnsiTheme="minorHAnsi" w:cstheme="minorHAnsi"/>
          <w:lang w:val="en-US"/>
        </w:rPr>
        <w:t>.</w:t>
      </w:r>
    </w:p>
  </w:footnote>
  <w:footnote w:id="6">
    <w:p w14:paraId="669CBB64" w14:textId="12354D96" w:rsidR="00972546" w:rsidRPr="0018503F" w:rsidRDefault="00972546" w:rsidP="00E76739">
      <w:pPr>
        <w:pStyle w:val="Footnote"/>
        <w:rPr>
          <w:rFonts w:asciiTheme="minorHAnsi" w:hAnsiTheme="minorHAnsi" w:cstheme="minorHAnsi"/>
          <w:lang w:val="en-AU"/>
        </w:rPr>
      </w:pPr>
      <w:r w:rsidRPr="00FA57A1">
        <w:rPr>
          <w:rStyle w:val="FootnoteReference"/>
          <w:rFonts w:asciiTheme="minorHAnsi" w:hAnsiTheme="minorHAnsi" w:cstheme="minorHAnsi"/>
          <w:sz w:val="16"/>
          <w:szCs w:val="16"/>
        </w:rPr>
        <w:footnoteRef/>
      </w:r>
      <w:r>
        <w:rPr>
          <w:rFonts w:asciiTheme="minorHAnsi" w:hAnsiTheme="minorHAnsi" w:cstheme="minorHAnsi"/>
          <w:i/>
          <w:lang w:val="en-AU"/>
        </w:rPr>
        <w:t xml:space="preserve"> </w:t>
      </w:r>
      <w:r w:rsidRPr="003E5910">
        <w:rPr>
          <w:rFonts w:asciiTheme="minorHAnsi" w:hAnsiTheme="minorHAnsi" w:cstheme="minorHAnsi"/>
          <w:lang w:val="en-AU"/>
        </w:rPr>
        <w:t>Ibid</w:t>
      </w:r>
      <w:r w:rsidRPr="00D403BE">
        <w:rPr>
          <w:rFonts w:asciiTheme="minorHAnsi" w:hAnsiTheme="minorHAnsi" w:cstheme="minorHAnsi"/>
          <w:lang w:val="en-AU"/>
        </w:rPr>
        <w:t>.,</w:t>
      </w:r>
      <w:r w:rsidRPr="0018503F">
        <w:rPr>
          <w:rFonts w:asciiTheme="minorHAnsi" w:hAnsiTheme="minorHAnsi" w:cstheme="minorHAnsi"/>
          <w:lang w:val="en-AU"/>
        </w:rPr>
        <w:t xml:space="preserve"> p. 82</w:t>
      </w:r>
      <w:r>
        <w:rPr>
          <w:rFonts w:asciiTheme="minorHAnsi" w:hAnsiTheme="minorHAnsi" w:cstheme="minorHAnsi"/>
          <w:lang w:val="en-AU"/>
        </w:rPr>
        <w:t>.</w:t>
      </w:r>
    </w:p>
  </w:footnote>
  <w:footnote w:id="7">
    <w:p w14:paraId="25CDC77E" w14:textId="21EE38E1" w:rsidR="00972546" w:rsidRPr="000E233C" w:rsidRDefault="00972546" w:rsidP="00E76739">
      <w:pPr>
        <w:pStyle w:val="Footnote"/>
        <w:rPr>
          <w:rFonts w:asciiTheme="minorHAnsi" w:hAnsiTheme="minorHAnsi" w:cstheme="minorHAnsi"/>
          <w:sz w:val="20"/>
          <w:szCs w:val="20"/>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Article 34(1) of the Austrian Criminal Procedural Code (StPO)</w:t>
      </w:r>
      <w:r>
        <w:rPr>
          <w:rFonts w:asciiTheme="minorHAnsi" w:hAnsiTheme="minorHAnsi" w:cstheme="minorHAnsi"/>
          <w:lang w:val="en-US"/>
        </w:rPr>
        <w:t>.</w:t>
      </w:r>
    </w:p>
  </w:footnote>
  <w:footnote w:id="8">
    <w:p w14:paraId="626AF048" w14:textId="4B08CADB"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FATF (2009</w:t>
      </w:r>
      <w:r>
        <w:rPr>
          <w:rFonts w:asciiTheme="minorHAnsi" w:hAnsiTheme="minorHAnsi" w:cstheme="minorHAnsi"/>
          <w:lang w:val="en-US"/>
        </w:rPr>
        <w:t>c</w:t>
      </w:r>
      <w:r w:rsidRPr="000E233C">
        <w:rPr>
          <w:rFonts w:asciiTheme="minorHAnsi" w:hAnsiTheme="minorHAnsi" w:cstheme="minorHAnsi"/>
          <w:lang w:val="en-US"/>
        </w:rPr>
        <w:t>)</w:t>
      </w:r>
      <w:r w:rsidRPr="003E5910">
        <w:rPr>
          <w:rFonts w:asciiTheme="minorHAnsi" w:hAnsiTheme="minorHAnsi" w:cstheme="minorHAnsi"/>
          <w:i/>
          <w:lang w:val="en-US"/>
        </w:rPr>
        <w:t>,</w:t>
      </w:r>
      <w:r w:rsidRPr="000E233C">
        <w:rPr>
          <w:rFonts w:asciiTheme="minorHAnsi" w:hAnsiTheme="minorHAnsi" w:cstheme="minorHAnsi"/>
          <w:lang w:val="en-US"/>
        </w:rPr>
        <w:t xml:space="preserve"> p.</w:t>
      </w:r>
      <w:r>
        <w:rPr>
          <w:rFonts w:asciiTheme="minorHAnsi" w:hAnsiTheme="minorHAnsi" w:cstheme="minorHAnsi"/>
          <w:lang w:val="en-US"/>
        </w:rPr>
        <w:t xml:space="preserve"> </w:t>
      </w:r>
      <w:r w:rsidRPr="000E233C">
        <w:rPr>
          <w:rFonts w:asciiTheme="minorHAnsi" w:hAnsiTheme="minorHAnsi" w:cstheme="minorHAnsi"/>
          <w:lang w:val="en-US"/>
        </w:rPr>
        <w:t>80</w:t>
      </w:r>
      <w:r>
        <w:rPr>
          <w:rFonts w:asciiTheme="minorHAnsi" w:hAnsiTheme="minorHAnsi" w:cstheme="minorHAnsi"/>
          <w:lang w:val="en-US"/>
        </w:rPr>
        <w:t>.</w:t>
      </w:r>
    </w:p>
  </w:footnote>
  <w:footnote w:id="9">
    <w:p w14:paraId="3B90ED3F" w14:textId="330DD7A5"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FATF (2011) </w:t>
      </w:r>
      <w:r w:rsidRPr="000E233C">
        <w:rPr>
          <w:rFonts w:asciiTheme="minorHAnsi" w:hAnsiTheme="minorHAnsi" w:cstheme="minorHAnsi"/>
          <w:i/>
          <w:lang w:val="en-US"/>
        </w:rPr>
        <w:t>Third Follow-up Report on Belgium</w:t>
      </w:r>
      <w:r w:rsidRPr="000E233C">
        <w:rPr>
          <w:rFonts w:asciiTheme="minorHAnsi" w:hAnsiTheme="minorHAnsi" w:cstheme="minorHAnsi"/>
          <w:lang w:val="en-US"/>
        </w:rPr>
        <w:t>, p. 126</w:t>
      </w:r>
      <w:r>
        <w:rPr>
          <w:rFonts w:asciiTheme="minorHAnsi" w:hAnsiTheme="minorHAnsi" w:cstheme="minorHAnsi"/>
          <w:lang w:val="en-US"/>
        </w:rPr>
        <w:t>.</w:t>
      </w:r>
    </w:p>
  </w:footnote>
  <w:footnote w:id="10">
    <w:p w14:paraId="41EA63BA" w14:textId="1B9D426D"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p>
  </w:footnote>
  <w:footnote w:id="11">
    <w:p w14:paraId="5800A83E" w14:textId="60EC9EE7" w:rsidR="00972546" w:rsidRPr="000E233C" w:rsidRDefault="00972546" w:rsidP="00E76739">
      <w:pPr>
        <w:pStyle w:val="FootnoteText"/>
        <w:rPr>
          <w:lang w:val="en-US"/>
        </w:rPr>
      </w:pPr>
      <w:r w:rsidRPr="003C3357">
        <w:rPr>
          <w:rStyle w:val="FootnoteReference"/>
        </w:rPr>
        <w:footnoteRef/>
      </w:r>
      <w:r w:rsidRPr="000E233C">
        <w:rPr>
          <w:lang w:val="en-US"/>
        </w:rPr>
        <w:t xml:space="preserve"> However, the provisions of </w:t>
      </w:r>
      <w:r>
        <w:rPr>
          <w:lang w:val="en-US"/>
        </w:rPr>
        <w:t>A</w:t>
      </w:r>
      <w:r w:rsidRPr="000E233C">
        <w:rPr>
          <w:lang w:val="en-US"/>
        </w:rPr>
        <w:t xml:space="preserve">rticle 12.4 of the Law for the Measures Against Money Laundering do not specify the required destinations of the information analysed by the FIU. The FIU provides the information to the security and public order services </w:t>
      </w:r>
      <w:r>
        <w:rPr>
          <w:lang w:val="en-US"/>
        </w:rPr>
        <w:t>on</w:t>
      </w:r>
      <w:r w:rsidRPr="000E233C">
        <w:rPr>
          <w:lang w:val="en-US"/>
        </w:rPr>
        <w:t xml:space="preserve"> its own discretion.</w:t>
      </w:r>
    </w:p>
  </w:footnote>
  <w:footnote w:id="12">
    <w:p w14:paraId="2C432BEA" w14:textId="76EB79F6" w:rsidR="00972546" w:rsidRPr="000E233C" w:rsidRDefault="00972546" w:rsidP="00E76739">
      <w:pPr>
        <w:pStyle w:val="Footnote"/>
        <w:rPr>
          <w:lang w:val="en-US"/>
        </w:rPr>
      </w:pPr>
      <w:r w:rsidRPr="00FA57A1">
        <w:rPr>
          <w:rStyle w:val="FootnoteReference"/>
          <w:rFonts w:asciiTheme="minorHAnsi" w:hAnsiTheme="minorHAnsi" w:cstheme="minorHAnsi"/>
        </w:rPr>
        <w:footnoteRef/>
      </w:r>
      <w:r w:rsidRPr="000E233C">
        <w:rPr>
          <w:lang w:val="en-US"/>
        </w:rPr>
        <w:t xml:space="preserve"> This project </w:t>
      </w:r>
      <w:r>
        <w:rPr>
          <w:lang w:val="en-US"/>
        </w:rPr>
        <w:t>is yet</w:t>
      </w:r>
      <w:r w:rsidRPr="000E233C">
        <w:rPr>
          <w:lang w:val="en-US"/>
        </w:rPr>
        <w:t xml:space="preserve"> to be </w:t>
      </w:r>
      <w:r>
        <w:rPr>
          <w:lang w:val="en-US"/>
        </w:rPr>
        <w:t>carried out;</w:t>
      </w:r>
      <w:r w:rsidRPr="000E233C">
        <w:rPr>
          <w:lang w:val="en-US"/>
        </w:rPr>
        <w:t xml:space="preserve"> hence a further investigation into the nature and scope of this speciali</w:t>
      </w:r>
      <w:r>
        <w:rPr>
          <w:lang w:val="en-US"/>
        </w:rPr>
        <w:t>z</w:t>
      </w:r>
      <w:r w:rsidRPr="000E233C">
        <w:rPr>
          <w:lang w:val="en-US"/>
        </w:rPr>
        <w:t>ed unit will follow at a later stage of the ECOLEF project.</w:t>
      </w:r>
    </w:p>
  </w:footnote>
  <w:footnote w:id="13">
    <w:p w14:paraId="27F87E3C" w14:textId="7FA262B5"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Section 32 paragraph 1 of the new AML/CFT Law</w:t>
      </w:r>
      <w:r>
        <w:rPr>
          <w:rFonts w:asciiTheme="minorHAnsi" w:hAnsiTheme="minorHAnsi" w:cstheme="minorHAnsi"/>
          <w:lang w:val="en-US"/>
        </w:rPr>
        <w:t>.</w:t>
      </w:r>
    </w:p>
  </w:footnote>
  <w:footnote w:id="14">
    <w:p w14:paraId="030F8F8E" w14:textId="15120AAC"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0E233C">
        <w:rPr>
          <w:rFonts w:asciiTheme="minorHAnsi" w:hAnsiTheme="minorHAnsi" w:cstheme="minorHAnsi"/>
          <w:lang w:val="en-US"/>
        </w:rPr>
        <w:t>MONEYVAL (2011</w:t>
      </w:r>
      <w:r>
        <w:rPr>
          <w:rFonts w:asciiTheme="minorHAnsi" w:hAnsiTheme="minorHAnsi" w:cstheme="minorHAnsi"/>
          <w:lang w:val="en-US"/>
        </w:rPr>
        <w:t>c</w:t>
      </w:r>
      <w:r w:rsidRPr="000E233C">
        <w:rPr>
          <w:rFonts w:asciiTheme="minorHAnsi" w:hAnsiTheme="minorHAnsi" w:cstheme="minorHAnsi"/>
          <w:lang w:val="en-US"/>
        </w:rPr>
        <w:t>), p</w:t>
      </w:r>
      <w:r>
        <w:rPr>
          <w:rFonts w:asciiTheme="minorHAnsi" w:hAnsiTheme="minorHAnsi" w:cstheme="minorHAnsi"/>
          <w:lang w:val="en-US"/>
        </w:rPr>
        <w:t>.</w:t>
      </w:r>
      <w:r w:rsidRPr="000E233C">
        <w:rPr>
          <w:rFonts w:asciiTheme="minorHAnsi" w:hAnsiTheme="minorHAnsi" w:cstheme="minorHAnsi"/>
          <w:lang w:val="en-US"/>
        </w:rPr>
        <w:t xml:space="preserve"> 71</w:t>
      </w:r>
      <w:r>
        <w:rPr>
          <w:rFonts w:asciiTheme="minorHAnsi" w:hAnsiTheme="minorHAnsi" w:cstheme="minorHAnsi"/>
          <w:lang w:val="en-US"/>
        </w:rPr>
        <w:t>.</w:t>
      </w:r>
    </w:p>
  </w:footnote>
  <w:footnote w:id="15">
    <w:p w14:paraId="0702E034" w14:textId="08F8FC50"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Ibid.,</w:t>
      </w:r>
      <w:r w:rsidRPr="000E233C">
        <w:rPr>
          <w:rFonts w:asciiTheme="minorHAnsi" w:hAnsiTheme="minorHAnsi" w:cstheme="minorHAnsi"/>
          <w:lang w:val="en-US"/>
        </w:rPr>
        <w:t xml:space="preserve"> p</w:t>
      </w:r>
      <w:r>
        <w:rPr>
          <w:rFonts w:asciiTheme="minorHAnsi" w:hAnsiTheme="minorHAnsi" w:cstheme="minorHAnsi"/>
          <w:lang w:val="en-US"/>
        </w:rPr>
        <w:t>p.</w:t>
      </w:r>
      <w:r w:rsidRPr="000E233C">
        <w:rPr>
          <w:rFonts w:asciiTheme="minorHAnsi" w:hAnsiTheme="minorHAnsi" w:cstheme="minorHAnsi"/>
          <w:lang w:val="en-US"/>
        </w:rPr>
        <w:t xml:space="preserve"> 71</w:t>
      </w:r>
      <w:r>
        <w:rPr>
          <w:rFonts w:asciiTheme="minorHAnsi" w:hAnsiTheme="minorHAnsi" w:cstheme="minorHAnsi"/>
          <w:lang w:val="en-US"/>
        </w:rPr>
        <w:t>–</w:t>
      </w:r>
      <w:r w:rsidRPr="000E233C">
        <w:rPr>
          <w:rFonts w:asciiTheme="minorHAnsi" w:hAnsiTheme="minorHAnsi" w:cstheme="minorHAnsi"/>
          <w:lang w:val="en-US"/>
        </w:rPr>
        <w:t>2</w:t>
      </w:r>
      <w:r>
        <w:rPr>
          <w:rFonts w:asciiTheme="minorHAnsi" w:hAnsiTheme="minorHAnsi" w:cstheme="minorHAnsi"/>
          <w:lang w:val="en-US"/>
        </w:rPr>
        <w:t>.</w:t>
      </w:r>
    </w:p>
  </w:footnote>
  <w:footnote w:id="16">
    <w:p w14:paraId="145FE56A" w14:textId="030847EB"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i/>
          <w:lang w:val="en-US"/>
        </w:rPr>
        <w:t xml:space="preserve"> </w:t>
      </w:r>
      <w:r w:rsidRPr="003E5910">
        <w:rPr>
          <w:rFonts w:asciiTheme="minorHAnsi" w:hAnsiTheme="minorHAnsi" w:cstheme="minorHAnsi"/>
          <w:lang w:val="en-US"/>
        </w:rPr>
        <w:t>Ibid</w:t>
      </w:r>
      <w:r w:rsidRPr="00FA5C54">
        <w:rPr>
          <w:rFonts w:asciiTheme="minorHAnsi" w:hAnsiTheme="minorHAnsi" w:cstheme="minorHAnsi"/>
          <w:lang w:val="en-US"/>
        </w:rPr>
        <w:t>.,</w:t>
      </w:r>
      <w:r w:rsidRPr="000E233C">
        <w:rPr>
          <w:rFonts w:asciiTheme="minorHAnsi" w:hAnsiTheme="minorHAnsi" w:cstheme="minorHAnsi"/>
          <w:lang w:val="en-US"/>
        </w:rPr>
        <w:t xml:space="preserve"> p. 76</w:t>
      </w:r>
      <w:r>
        <w:rPr>
          <w:rFonts w:asciiTheme="minorHAnsi" w:hAnsiTheme="minorHAnsi" w:cstheme="minorHAnsi"/>
          <w:lang w:val="en-US"/>
        </w:rPr>
        <w:t>.</w:t>
      </w:r>
    </w:p>
  </w:footnote>
  <w:footnote w:id="17">
    <w:p w14:paraId="3DF0D8A8" w14:textId="18A45C33"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Ibid.,</w:t>
      </w:r>
      <w:r w:rsidRPr="000E233C">
        <w:rPr>
          <w:rFonts w:asciiTheme="minorHAnsi" w:hAnsiTheme="minorHAnsi" w:cstheme="minorHAnsi"/>
          <w:lang w:val="en-US"/>
        </w:rPr>
        <w:t xml:space="preserve"> p</w:t>
      </w:r>
      <w:r>
        <w:rPr>
          <w:rFonts w:asciiTheme="minorHAnsi" w:hAnsiTheme="minorHAnsi" w:cstheme="minorHAnsi"/>
          <w:lang w:val="en-US"/>
        </w:rPr>
        <w:t>p</w:t>
      </w:r>
      <w:r w:rsidRPr="000E233C">
        <w:rPr>
          <w:rFonts w:asciiTheme="minorHAnsi" w:hAnsiTheme="minorHAnsi" w:cstheme="minorHAnsi"/>
          <w:lang w:val="en-US"/>
        </w:rPr>
        <w:t>. 79</w:t>
      </w:r>
      <w:r>
        <w:rPr>
          <w:rFonts w:asciiTheme="minorHAnsi" w:hAnsiTheme="minorHAnsi" w:cstheme="minorHAnsi"/>
          <w:lang w:val="en-US"/>
        </w:rPr>
        <w:t>–</w:t>
      </w:r>
      <w:r w:rsidRPr="000E233C">
        <w:rPr>
          <w:rFonts w:asciiTheme="minorHAnsi" w:hAnsiTheme="minorHAnsi" w:cstheme="minorHAnsi"/>
          <w:lang w:val="en-US"/>
        </w:rPr>
        <w:t>80</w:t>
      </w:r>
      <w:r>
        <w:rPr>
          <w:rFonts w:asciiTheme="minorHAnsi" w:hAnsiTheme="minorHAnsi" w:cstheme="minorHAnsi"/>
          <w:lang w:val="en-US"/>
        </w:rPr>
        <w:t>.</w:t>
      </w:r>
    </w:p>
  </w:footnote>
  <w:footnote w:id="18">
    <w:p w14:paraId="5BB488B9" w14:textId="10B59BBB"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FA5C54">
        <w:rPr>
          <w:rFonts w:asciiTheme="minorHAnsi" w:hAnsiTheme="minorHAnsi" w:cstheme="minorHAnsi"/>
          <w:lang w:val="en-US"/>
        </w:rPr>
        <w:t>.</w:t>
      </w:r>
      <w:r w:rsidRPr="003E5910">
        <w:rPr>
          <w:rFonts w:asciiTheme="minorHAnsi" w:hAnsiTheme="minorHAnsi" w:cstheme="minorHAnsi"/>
          <w:lang w:val="en-US"/>
        </w:rPr>
        <w:t>,</w:t>
      </w:r>
      <w:r w:rsidRPr="000E233C">
        <w:rPr>
          <w:rFonts w:asciiTheme="minorHAnsi" w:hAnsiTheme="minorHAnsi" w:cstheme="minorHAnsi"/>
          <w:lang w:val="en-US"/>
        </w:rPr>
        <w:t xml:space="preserve"> p. 76</w:t>
      </w:r>
      <w:r>
        <w:rPr>
          <w:rFonts w:asciiTheme="minorHAnsi" w:hAnsiTheme="minorHAnsi" w:cstheme="minorHAnsi"/>
          <w:lang w:val="en-US"/>
        </w:rPr>
        <w:t>.</w:t>
      </w:r>
    </w:p>
  </w:footnote>
  <w:footnote w:id="19">
    <w:p w14:paraId="37EE01B7" w14:textId="222410A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FA5C54">
        <w:rPr>
          <w:rFonts w:asciiTheme="minorHAnsi" w:hAnsiTheme="minorHAnsi" w:cstheme="minorHAnsi"/>
          <w:lang w:val="en-US"/>
        </w:rPr>
        <w:t>.,</w:t>
      </w:r>
      <w:r w:rsidRPr="000E233C">
        <w:rPr>
          <w:rFonts w:asciiTheme="minorHAnsi" w:hAnsiTheme="minorHAnsi" w:cstheme="minorHAnsi"/>
          <w:lang w:val="en-US"/>
        </w:rPr>
        <w:t xml:space="preserve"> p. 77</w:t>
      </w:r>
      <w:r>
        <w:rPr>
          <w:rFonts w:asciiTheme="minorHAnsi" w:hAnsiTheme="minorHAnsi" w:cstheme="minorHAnsi"/>
          <w:lang w:val="en-US"/>
        </w:rPr>
        <w:t>.</w:t>
      </w:r>
    </w:p>
  </w:footnote>
  <w:footnote w:id="20">
    <w:p w14:paraId="40C4A186" w14:textId="73ED2C49"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0E233C">
        <w:rPr>
          <w:rFonts w:asciiTheme="minorHAnsi" w:hAnsiTheme="minorHAnsi" w:cstheme="minorHAnsi"/>
          <w:i/>
          <w:lang w:val="en-US"/>
        </w:rPr>
        <w:t xml:space="preserve"> </w:t>
      </w:r>
      <w:r w:rsidRPr="000E233C">
        <w:rPr>
          <w:rFonts w:asciiTheme="minorHAnsi" w:hAnsiTheme="minorHAnsi" w:cstheme="minorHAnsi"/>
          <w:lang w:val="en-US"/>
        </w:rPr>
        <w:t>p. 77</w:t>
      </w:r>
      <w:r>
        <w:rPr>
          <w:rFonts w:asciiTheme="minorHAnsi" w:hAnsiTheme="minorHAnsi" w:cstheme="minorHAnsi"/>
          <w:lang w:val="en-US"/>
        </w:rPr>
        <w:t>.</w:t>
      </w:r>
    </w:p>
  </w:footnote>
  <w:footnote w:id="21">
    <w:p w14:paraId="52755590" w14:textId="71DDF628"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0E233C">
        <w:rPr>
          <w:rFonts w:asciiTheme="minorHAnsi" w:hAnsiTheme="minorHAnsi" w:cstheme="minorHAnsi"/>
          <w:lang w:val="en-US"/>
        </w:rPr>
        <w:t xml:space="preserve"> p. 85</w:t>
      </w:r>
      <w:r>
        <w:rPr>
          <w:rFonts w:asciiTheme="minorHAnsi" w:hAnsiTheme="minorHAnsi" w:cstheme="minorHAnsi"/>
          <w:lang w:val="en-US"/>
        </w:rPr>
        <w:t>.</w:t>
      </w:r>
    </w:p>
  </w:footnote>
  <w:footnote w:id="22">
    <w:p w14:paraId="7A6064E1" w14:textId="7471E186"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FA5C54">
        <w:rPr>
          <w:rFonts w:asciiTheme="minorHAnsi" w:hAnsiTheme="minorHAnsi" w:cstheme="minorHAnsi"/>
          <w:lang w:val="en-US"/>
        </w:rPr>
        <w:t>.,</w:t>
      </w:r>
      <w:r w:rsidRPr="000E233C">
        <w:rPr>
          <w:rFonts w:asciiTheme="minorHAnsi" w:hAnsiTheme="minorHAnsi" w:cstheme="minorHAnsi"/>
          <w:lang w:val="en-US"/>
        </w:rPr>
        <w:t xml:space="preserve"> p. 76</w:t>
      </w:r>
      <w:r>
        <w:rPr>
          <w:rFonts w:asciiTheme="minorHAnsi" w:hAnsiTheme="minorHAnsi" w:cstheme="minorHAnsi"/>
          <w:lang w:val="en-US"/>
        </w:rPr>
        <w:t>.</w:t>
      </w:r>
    </w:p>
  </w:footnote>
  <w:footnote w:id="23">
    <w:p w14:paraId="5F0AF755" w14:textId="29CD4783" w:rsidR="00972546" w:rsidRPr="000E233C" w:rsidRDefault="00972546" w:rsidP="00E76739">
      <w:pPr>
        <w:pStyle w:val="FootnoteText"/>
        <w:rPr>
          <w:lang w:val="en-US"/>
        </w:rPr>
      </w:pPr>
      <w:r>
        <w:rPr>
          <w:rStyle w:val="FootnoteReference"/>
        </w:rPr>
        <w:footnoteRef/>
      </w:r>
      <w:r w:rsidRPr="000E233C">
        <w:rPr>
          <w:lang w:val="en-US"/>
        </w:rPr>
        <w:t xml:space="preserve"> The information flow diagram reflects the information available at the time the research was conducted </w:t>
      </w:r>
      <w:r>
        <w:rPr>
          <w:lang w:val="en-US"/>
        </w:rPr>
        <w:t xml:space="preserve">in </w:t>
      </w:r>
      <w:r w:rsidRPr="000E233C">
        <w:rPr>
          <w:lang w:val="en-US"/>
        </w:rPr>
        <w:t xml:space="preserve">each Member State. As more detailed information gradually became available, we transitioned to a more detailed information flow diagram style. However, the analysis was not redone for the Member States examined </w:t>
      </w:r>
      <w:r>
        <w:rPr>
          <w:lang w:val="en-US"/>
        </w:rPr>
        <w:t>at an</w:t>
      </w:r>
      <w:r w:rsidRPr="000E233C">
        <w:rPr>
          <w:lang w:val="en-US"/>
        </w:rPr>
        <w:t xml:space="preserve"> earlier stage of the project. </w:t>
      </w:r>
    </w:p>
  </w:footnote>
  <w:footnote w:id="24">
    <w:p w14:paraId="42BF71CA" w14:textId="1C2CB4D6"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Style w:val="hps"/>
          <w:rFonts w:asciiTheme="minorHAnsi" w:hAnsiTheme="minorHAnsi" w:cstheme="minorHAnsi"/>
          <w:lang w:val="en-US"/>
        </w:rPr>
        <w:t xml:space="preserve"> </w:t>
      </w:r>
      <w:r w:rsidRPr="000E233C">
        <w:rPr>
          <w:rStyle w:val="hps"/>
          <w:rFonts w:asciiTheme="minorHAnsi" w:hAnsiTheme="minorHAnsi" w:cstheme="minorHAnsi"/>
          <w:lang w:val="en-US"/>
        </w:rPr>
        <w:t>Article</w:t>
      </w:r>
      <w:r>
        <w:rPr>
          <w:rStyle w:val="hps"/>
          <w:rFonts w:asciiTheme="minorHAnsi" w:hAnsiTheme="minorHAnsi" w:cstheme="minorHAnsi"/>
          <w:lang w:val="en-US"/>
        </w:rPr>
        <w:t xml:space="preserve"> </w:t>
      </w:r>
      <w:r w:rsidRPr="000E233C">
        <w:rPr>
          <w:rStyle w:val="hps"/>
          <w:rFonts w:asciiTheme="minorHAnsi" w:hAnsiTheme="minorHAnsi" w:cstheme="minorHAnsi"/>
          <w:lang w:val="en-US"/>
        </w:rPr>
        <w:t>L.561-23</w:t>
      </w:r>
      <w:r>
        <w:rPr>
          <w:rStyle w:val="hps"/>
          <w:rFonts w:asciiTheme="minorHAnsi" w:hAnsiTheme="minorHAnsi" w:cstheme="minorHAnsi"/>
          <w:lang w:val="en-US"/>
        </w:rPr>
        <w:t xml:space="preserve"> </w:t>
      </w:r>
      <w:r w:rsidRPr="000E233C">
        <w:rPr>
          <w:rStyle w:val="hps"/>
          <w:rFonts w:asciiTheme="minorHAnsi" w:hAnsiTheme="minorHAnsi" w:cstheme="minorHAnsi"/>
          <w:lang w:val="en-US"/>
        </w:rPr>
        <w:t>CMF</w:t>
      </w:r>
      <w:r>
        <w:rPr>
          <w:rStyle w:val="hps"/>
          <w:rFonts w:asciiTheme="minorHAnsi" w:hAnsiTheme="minorHAnsi" w:cstheme="minorHAnsi"/>
          <w:lang w:val="en-US"/>
        </w:rPr>
        <w:t>.</w:t>
      </w:r>
    </w:p>
  </w:footnote>
  <w:footnote w:id="25">
    <w:p w14:paraId="457D1A2A" w14:textId="78332256"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Style w:val="hps"/>
          <w:rFonts w:asciiTheme="minorHAnsi" w:hAnsiTheme="minorHAnsi" w:cstheme="minorHAnsi"/>
          <w:lang w:val="en-US"/>
        </w:rPr>
        <w:t xml:space="preserve"> </w:t>
      </w:r>
      <w:r w:rsidRPr="000E233C">
        <w:rPr>
          <w:rStyle w:val="hps"/>
          <w:rFonts w:asciiTheme="minorHAnsi" w:hAnsiTheme="minorHAnsi" w:cstheme="minorHAnsi"/>
          <w:lang w:val="en-US"/>
        </w:rPr>
        <w:t>Article</w:t>
      </w:r>
      <w:r>
        <w:rPr>
          <w:rStyle w:val="hps"/>
          <w:rFonts w:asciiTheme="minorHAnsi" w:hAnsiTheme="minorHAnsi" w:cstheme="minorHAnsi"/>
          <w:lang w:val="en-US"/>
        </w:rPr>
        <w:t xml:space="preserve"> </w:t>
      </w:r>
      <w:r w:rsidRPr="000E233C">
        <w:rPr>
          <w:rStyle w:val="hps"/>
          <w:rFonts w:asciiTheme="minorHAnsi" w:hAnsiTheme="minorHAnsi" w:cstheme="minorHAnsi"/>
          <w:lang w:val="en-US"/>
        </w:rPr>
        <w:t>L.561</w:t>
      </w:r>
      <w:r w:rsidRPr="000E233C">
        <w:rPr>
          <w:rFonts w:asciiTheme="minorHAnsi" w:hAnsiTheme="minorHAnsi" w:cstheme="minorHAnsi"/>
          <w:lang w:val="en-US"/>
        </w:rPr>
        <w:t xml:space="preserve">-29 </w:t>
      </w:r>
      <w:r w:rsidRPr="000E233C">
        <w:rPr>
          <w:rStyle w:val="hps"/>
          <w:rFonts w:asciiTheme="minorHAnsi" w:hAnsiTheme="minorHAnsi" w:cstheme="minorHAnsi"/>
          <w:lang w:val="en-US"/>
        </w:rPr>
        <w:t>of the CMF</w:t>
      </w:r>
      <w:r>
        <w:rPr>
          <w:rStyle w:val="hps"/>
          <w:rFonts w:asciiTheme="minorHAnsi" w:hAnsiTheme="minorHAnsi" w:cstheme="minorHAnsi"/>
          <w:lang w:val="en-US"/>
        </w:rPr>
        <w:t>.</w:t>
      </w:r>
    </w:p>
  </w:footnote>
  <w:footnote w:id="26">
    <w:p w14:paraId="6B61978B" w14:textId="1DB01F12"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Act of </w:t>
      </w:r>
      <w:r w:rsidRPr="008F49D6">
        <w:rPr>
          <w:rFonts w:asciiTheme="minorHAnsi" w:hAnsiTheme="minorHAnsi" w:cstheme="minorHAnsi"/>
          <w:lang w:val="en-US"/>
        </w:rPr>
        <w:t>9</w:t>
      </w:r>
      <w:r>
        <w:rPr>
          <w:rFonts w:asciiTheme="minorHAnsi" w:hAnsiTheme="minorHAnsi" w:cstheme="minorHAnsi"/>
          <w:lang w:val="en-US"/>
        </w:rPr>
        <w:t xml:space="preserve"> </w:t>
      </w:r>
      <w:r w:rsidRPr="000E233C">
        <w:rPr>
          <w:rFonts w:asciiTheme="minorHAnsi" w:hAnsiTheme="minorHAnsi" w:cstheme="minorHAnsi"/>
          <w:lang w:val="en-US"/>
        </w:rPr>
        <w:t>March 2004</w:t>
      </w:r>
      <w:r>
        <w:rPr>
          <w:rFonts w:asciiTheme="minorHAnsi" w:hAnsiTheme="minorHAnsi" w:cstheme="minorHAnsi"/>
          <w:lang w:val="en-US"/>
        </w:rPr>
        <w:t>.</w:t>
      </w:r>
    </w:p>
  </w:footnote>
  <w:footnote w:id="27">
    <w:p w14:paraId="19FFAAFB" w14:textId="7777777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Article 415 Customs offence of money laundering of the Customs Code and money laundering offences under ordinary law, Articles 324-1 to 324-9 of the Criminal Code.</w:t>
      </w:r>
    </w:p>
  </w:footnote>
  <w:footnote w:id="28">
    <w:p w14:paraId="004F1FDA" w14:textId="08A4B934"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Articles 43, 52, 706-16</w:t>
      </w:r>
      <w:r>
        <w:rPr>
          <w:rFonts w:asciiTheme="minorHAnsi" w:hAnsiTheme="minorHAnsi" w:cstheme="minorHAnsi"/>
          <w:lang w:val="en-US"/>
        </w:rPr>
        <w:t>–</w:t>
      </w:r>
      <w:r w:rsidRPr="000E233C">
        <w:rPr>
          <w:rFonts w:asciiTheme="minorHAnsi" w:hAnsiTheme="minorHAnsi" w:cstheme="minorHAnsi"/>
          <w:lang w:val="en-US"/>
        </w:rPr>
        <w:t>706-73 of the Penal Procedural Code</w:t>
      </w:r>
      <w:r>
        <w:rPr>
          <w:rFonts w:asciiTheme="minorHAnsi" w:hAnsiTheme="minorHAnsi" w:cstheme="minorHAnsi"/>
          <w:lang w:val="en-US"/>
        </w:rPr>
        <w:t>.</w:t>
      </w:r>
    </w:p>
  </w:footnote>
  <w:footnote w:id="29">
    <w:p w14:paraId="7685984D" w14:textId="7777777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Like every other judge, the investigative judge is independent, hence does not fall under the authority of the Executive.</w:t>
      </w:r>
    </w:p>
  </w:footnote>
  <w:footnote w:id="30">
    <w:p w14:paraId="7E30C552" w14:textId="694A8D65"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FATF (2010</w:t>
      </w:r>
      <w:r>
        <w:rPr>
          <w:rFonts w:asciiTheme="minorHAnsi" w:hAnsiTheme="minorHAnsi" w:cstheme="minorHAnsi"/>
          <w:lang w:val="en-US"/>
        </w:rPr>
        <w:t>e</w:t>
      </w:r>
      <w:r w:rsidRPr="000E233C">
        <w:rPr>
          <w:rFonts w:asciiTheme="minorHAnsi" w:hAnsiTheme="minorHAnsi" w:cstheme="minorHAnsi"/>
          <w:lang w:val="en-US"/>
        </w:rPr>
        <w:t>)</w:t>
      </w:r>
      <w:r>
        <w:rPr>
          <w:rFonts w:asciiTheme="minorHAnsi" w:hAnsiTheme="minorHAnsi" w:cstheme="minorHAnsi"/>
          <w:lang w:val="en-US"/>
        </w:rPr>
        <w:t>,</w:t>
      </w:r>
      <w:r w:rsidRPr="000E233C">
        <w:rPr>
          <w:rFonts w:asciiTheme="minorHAnsi" w:hAnsiTheme="minorHAnsi" w:cstheme="minorHAnsi"/>
          <w:lang w:val="en-US"/>
        </w:rPr>
        <w:t xml:space="preserve"> p. 98</w:t>
      </w:r>
      <w:r>
        <w:rPr>
          <w:rFonts w:asciiTheme="minorHAnsi" w:hAnsiTheme="minorHAnsi" w:cstheme="minorHAnsi"/>
          <w:lang w:val="en-US"/>
        </w:rPr>
        <w:t>.</w:t>
      </w:r>
    </w:p>
  </w:footnote>
  <w:footnote w:id="31">
    <w:p w14:paraId="300ED30D" w14:textId="7777777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This is to assess whether the STR relates to an offence under Section 261 of the German Criminal Code.</w:t>
      </w:r>
    </w:p>
  </w:footnote>
  <w:footnote w:id="32">
    <w:p w14:paraId="43C361BB" w14:textId="08F89EAC"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FATF (2010</w:t>
      </w:r>
      <w:r>
        <w:rPr>
          <w:rFonts w:asciiTheme="minorHAnsi" w:hAnsiTheme="minorHAnsi" w:cstheme="minorHAnsi"/>
          <w:lang w:val="en-US"/>
        </w:rPr>
        <w:t>e</w:t>
      </w:r>
      <w:r w:rsidRPr="000E233C">
        <w:rPr>
          <w:rFonts w:asciiTheme="minorHAnsi" w:hAnsiTheme="minorHAnsi" w:cstheme="minorHAnsi"/>
          <w:lang w:val="en-US"/>
        </w:rPr>
        <w:t>)</w:t>
      </w:r>
      <w:r>
        <w:rPr>
          <w:rFonts w:asciiTheme="minorHAnsi" w:hAnsiTheme="minorHAnsi" w:cstheme="minorHAnsi"/>
          <w:lang w:val="en-US"/>
        </w:rPr>
        <w:t>,</w:t>
      </w:r>
      <w:r w:rsidRPr="000E233C">
        <w:rPr>
          <w:rFonts w:asciiTheme="minorHAnsi" w:hAnsiTheme="minorHAnsi" w:cstheme="minorHAnsi"/>
          <w:lang w:val="en-US"/>
        </w:rPr>
        <w:t xml:space="preserve"> p. 100</w:t>
      </w:r>
      <w:r>
        <w:rPr>
          <w:rFonts w:asciiTheme="minorHAnsi" w:hAnsiTheme="minorHAnsi" w:cstheme="minorHAnsi"/>
          <w:lang w:val="en-US"/>
        </w:rPr>
        <w:t>.</w:t>
      </w:r>
    </w:p>
  </w:footnote>
  <w:footnote w:id="33">
    <w:p w14:paraId="39890BC4" w14:textId="0D543CFD"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Section 2(7) of the German Criminal Police Act</w:t>
      </w:r>
      <w:r>
        <w:rPr>
          <w:rFonts w:asciiTheme="minorHAnsi" w:hAnsiTheme="minorHAnsi" w:cstheme="minorHAnsi"/>
          <w:lang w:val="en-US"/>
        </w:rPr>
        <w:t>.</w:t>
      </w:r>
    </w:p>
  </w:footnote>
  <w:footnote w:id="34">
    <w:p w14:paraId="599526F5" w14:textId="25D3CADF"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FATF (2010</w:t>
      </w:r>
      <w:r>
        <w:rPr>
          <w:rFonts w:asciiTheme="minorHAnsi" w:hAnsiTheme="minorHAnsi" w:cstheme="minorHAnsi"/>
          <w:lang w:val="en-US"/>
        </w:rPr>
        <w:t>e</w:t>
      </w:r>
      <w:r w:rsidRPr="000E233C">
        <w:rPr>
          <w:rFonts w:asciiTheme="minorHAnsi" w:hAnsiTheme="minorHAnsi" w:cstheme="minorHAnsi"/>
          <w:lang w:val="en-US"/>
        </w:rPr>
        <w:t>)</w:t>
      </w:r>
      <w:r>
        <w:rPr>
          <w:rFonts w:asciiTheme="minorHAnsi" w:hAnsiTheme="minorHAnsi" w:cstheme="minorHAnsi"/>
          <w:lang w:val="en-US"/>
        </w:rPr>
        <w:t>,</w:t>
      </w:r>
      <w:r w:rsidRPr="000E233C">
        <w:rPr>
          <w:rFonts w:asciiTheme="minorHAnsi" w:hAnsiTheme="minorHAnsi" w:cstheme="minorHAnsi"/>
          <w:lang w:val="en-US"/>
        </w:rPr>
        <w:t xml:space="preserve"> p. 100</w:t>
      </w:r>
      <w:r>
        <w:rPr>
          <w:rFonts w:asciiTheme="minorHAnsi" w:hAnsiTheme="minorHAnsi" w:cstheme="minorHAnsi"/>
          <w:lang w:val="en-US"/>
        </w:rPr>
        <w:t>.</w:t>
      </w:r>
    </w:p>
  </w:footnote>
  <w:footnote w:id="35">
    <w:p w14:paraId="4A046D27" w14:textId="491A9804"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FIU Germany (2010)</w:t>
      </w:r>
      <w:r>
        <w:rPr>
          <w:rFonts w:asciiTheme="minorHAnsi" w:hAnsiTheme="minorHAnsi" w:cstheme="minorHAnsi"/>
          <w:lang w:val="en-US"/>
        </w:rPr>
        <w:t>,</w:t>
      </w:r>
      <w:r w:rsidRPr="000E233C">
        <w:rPr>
          <w:rFonts w:asciiTheme="minorHAnsi" w:hAnsiTheme="minorHAnsi" w:cstheme="minorHAnsi"/>
          <w:lang w:val="en-US"/>
        </w:rPr>
        <w:t xml:space="preserve"> </w:t>
      </w:r>
      <w:r>
        <w:rPr>
          <w:rFonts w:asciiTheme="minorHAnsi" w:hAnsiTheme="minorHAnsi" w:cstheme="minorHAnsi"/>
          <w:lang w:val="en-US"/>
        </w:rPr>
        <w:t>‘</w:t>
      </w:r>
      <w:r w:rsidRPr="003E5910">
        <w:rPr>
          <w:rFonts w:asciiTheme="minorHAnsi" w:hAnsiTheme="minorHAnsi" w:cstheme="minorHAnsi"/>
          <w:lang w:val="en-US"/>
        </w:rPr>
        <w:t xml:space="preserve">Annual </w:t>
      </w:r>
      <w:r>
        <w:rPr>
          <w:rFonts w:asciiTheme="minorHAnsi" w:hAnsiTheme="minorHAnsi" w:cstheme="minorHAnsi"/>
          <w:lang w:val="en-US"/>
        </w:rPr>
        <w:t>R</w:t>
      </w:r>
      <w:r w:rsidRPr="003E5910">
        <w:rPr>
          <w:rFonts w:asciiTheme="minorHAnsi" w:hAnsiTheme="minorHAnsi" w:cstheme="minorHAnsi"/>
          <w:lang w:val="en-US"/>
        </w:rPr>
        <w:t>eport</w:t>
      </w:r>
      <w:r>
        <w:rPr>
          <w:rFonts w:asciiTheme="minorHAnsi" w:hAnsiTheme="minorHAnsi" w:cstheme="minorHAnsi"/>
          <w:lang w:val="en-US"/>
        </w:rPr>
        <w:t>’</w:t>
      </w:r>
      <w:r w:rsidRPr="00695401">
        <w:rPr>
          <w:rFonts w:asciiTheme="minorHAnsi" w:hAnsiTheme="minorHAnsi" w:cstheme="minorHAnsi"/>
          <w:lang w:val="en-US"/>
        </w:rPr>
        <w:t>,</w:t>
      </w:r>
      <w:r w:rsidRPr="000E233C">
        <w:rPr>
          <w:rFonts w:asciiTheme="minorHAnsi" w:hAnsiTheme="minorHAnsi" w:cstheme="minorHAnsi"/>
          <w:lang w:val="en-US"/>
        </w:rPr>
        <w:t xml:space="preserve"> p. 20</w:t>
      </w:r>
      <w:r>
        <w:rPr>
          <w:rFonts w:asciiTheme="minorHAnsi" w:hAnsiTheme="minorHAnsi" w:cstheme="minorHAnsi"/>
          <w:lang w:val="en-US"/>
        </w:rPr>
        <w:t>.</w:t>
      </w:r>
      <w:r w:rsidRPr="000E233C">
        <w:rPr>
          <w:rFonts w:asciiTheme="minorHAnsi" w:hAnsiTheme="minorHAnsi" w:cstheme="minorHAnsi"/>
          <w:lang w:val="en-US"/>
        </w:rPr>
        <w:t xml:space="preserve"> </w:t>
      </w:r>
    </w:p>
  </w:footnote>
  <w:footnote w:id="36">
    <w:p w14:paraId="26DC5D71" w14:textId="7777777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This is despite the fact that the prosecution is governed by the principle of legality. Section 43(2) of the CPC allows the PPO to refrain from prosecuting cases when the documents presented to him/her do not satisfy minimum requirements to ensure the success of the case.</w:t>
      </w:r>
    </w:p>
  </w:footnote>
  <w:footnote w:id="37">
    <w:p w14:paraId="6EF97D95" w14:textId="1C46A47A"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According to the Greek FIU representative</w:t>
      </w:r>
      <w:r>
        <w:rPr>
          <w:rFonts w:asciiTheme="minorHAnsi" w:hAnsiTheme="minorHAnsi" w:cstheme="minorHAnsi"/>
          <w:lang w:val="en-US"/>
        </w:rPr>
        <w:t>,</w:t>
      </w:r>
      <w:r w:rsidRPr="000E233C">
        <w:rPr>
          <w:rFonts w:asciiTheme="minorHAnsi" w:hAnsiTheme="minorHAnsi" w:cstheme="minorHAnsi"/>
          <w:lang w:val="en-US"/>
        </w:rPr>
        <w:t xml:space="preserve"> there are newly formed speciali</w:t>
      </w:r>
      <w:r>
        <w:rPr>
          <w:rFonts w:asciiTheme="minorHAnsi" w:hAnsiTheme="minorHAnsi" w:cstheme="minorHAnsi"/>
          <w:lang w:val="en-US"/>
        </w:rPr>
        <w:t>z</w:t>
      </w:r>
      <w:r w:rsidRPr="000E233C">
        <w:rPr>
          <w:rFonts w:asciiTheme="minorHAnsi" w:hAnsiTheme="minorHAnsi" w:cstheme="minorHAnsi"/>
          <w:lang w:val="en-US"/>
        </w:rPr>
        <w:t>ed groups of PPOs in Athens and Thessaloniki exclusively dealing with financial crimes cases. This has yet to be confirmed by a prosecution representative.</w:t>
      </w:r>
    </w:p>
  </w:footnote>
  <w:footnote w:id="38">
    <w:p w14:paraId="7453AC8B" w14:textId="6D2607C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0E233C">
        <w:rPr>
          <w:rFonts w:asciiTheme="minorHAnsi" w:hAnsiTheme="minorHAnsi" w:cstheme="minorHAnsi"/>
          <w:lang w:val="en-US"/>
        </w:rPr>
        <w:t>MONEYVAL</w:t>
      </w:r>
      <w:r>
        <w:rPr>
          <w:rFonts w:asciiTheme="minorHAnsi" w:hAnsiTheme="minorHAnsi" w:cstheme="minorHAnsi"/>
          <w:lang w:val="en-US"/>
        </w:rPr>
        <w:t xml:space="preserve"> </w:t>
      </w:r>
      <w:r w:rsidRPr="000E233C">
        <w:rPr>
          <w:rFonts w:asciiTheme="minorHAnsi" w:hAnsiTheme="minorHAnsi" w:cstheme="minorHAnsi"/>
          <w:lang w:val="en-US"/>
        </w:rPr>
        <w:t xml:space="preserve">(2010), </w:t>
      </w:r>
      <w:r>
        <w:rPr>
          <w:rFonts w:asciiTheme="minorHAnsi" w:hAnsiTheme="minorHAnsi" w:cstheme="minorHAnsi"/>
          <w:lang w:val="en-US"/>
        </w:rPr>
        <w:t>‘</w:t>
      </w:r>
      <w:r w:rsidRPr="003E5910">
        <w:rPr>
          <w:rFonts w:asciiTheme="minorHAnsi" w:hAnsiTheme="minorHAnsi" w:cstheme="minorHAnsi"/>
          <w:lang w:val="en-US"/>
        </w:rPr>
        <w:t>Third Assessment Report on Hungary</w:t>
      </w:r>
      <w:r>
        <w:rPr>
          <w:rFonts w:asciiTheme="minorHAnsi" w:hAnsiTheme="minorHAnsi" w:cstheme="minorHAnsi"/>
          <w:lang w:val="en-US"/>
        </w:rPr>
        <w:t>’</w:t>
      </w:r>
      <w:r w:rsidRPr="00AA22B3">
        <w:rPr>
          <w:rFonts w:asciiTheme="minorHAnsi" w:hAnsiTheme="minorHAnsi" w:cstheme="minorHAnsi"/>
          <w:lang w:val="en-US"/>
        </w:rPr>
        <w:t>,</w:t>
      </w:r>
      <w:r w:rsidRPr="000E233C">
        <w:rPr>
          <w:rFonts w:asciiTheme="minorHAnsi" w:hAnsiTheme="minorHAnsi" w:cstheme="minorHAnsi"/>
          <w:lang w:val="en-US"/>
        </w:rPr>
        <w:t xml:space="preserve"> p. 21</w:t>
      </w:r>
      <w:r>
        <w:rPr>
          <w:rFonts w:asciiTheme="minorHAnsi" w:hAnsiTheme="minorHAnsi" w:cstheme="minorHAnsi"/>
          <w:lang w:val="en-US"/>
        </w:rPr>
        <w:t>.</w:t>
      </w:r>
    </w:p>
  </w:footnote>
  <w:footnote w:id="39">
    <w:p w14:paraId="490F5498" w14:textId="60A18AF1" w:rsidR="00972546" w:rsidRPr="000E233C" w:rsidRDefault="00972546" w:rsidP="00E76739">
      <w:pPr>
        <w:pStyle w:val="Footnote"/>
        <w:rPr>
          <w:rFonts w:asciiTheme="minorHAnsi" w:hAnsiTheme="minorHAnsi" w:cstheme="minorHAnsi"/>
          <w:sz w:val="20"/>
          <w:szCs w:val="20"/>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According to Section 26 of the Hungarian AML/CFT Act</w:t>
      </w:r>
      <w:r>
        <w:rPr>
          <w:rFonts w:asciiTheme="minorHAnsi" w:hAnsiTheme="minorHAnsi" w:cstheme="minorHAnsi"/>
          <w:lang w:val="en-US"/>
        </w:rPr>
        <w:t>.</w:t>
      </w:r>
    </w:p>
  </w:footnote>
  <w:footnote w:id="40">
    <w:p w14:paraId="6C2D2E0C" w14:textId="60A4C559"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0E233C">
        <w:rPr>
          <w:rFonts w:asciiTheme="minorHAnsi" w:hAnsiTheme="minorHAnsi" w:cstheme="minorHAnsi"/>
          <w:lang w:val="en-US"/>
        </w:rPr>
        <w:t>MONEYVAL (2010</w:t>
      </w:r>
      <w:r>
        <w:rPr>
          <w:rFonts w:asciiTheme="minorHAnsi" w:hAnsiTheme="minorHAnsi" w:cstheme="minorHAnsi"/>
          <w:lang w:val="en-US"/>
        </w:rPr>
        <w:t>c</w:t>
      </w:r>
      <w:r w:rsidRPr="000E233C">
        <w:rPr>
          <w:rFonts w:asciiTheme="minorHAnsi" w:hAnsiTheme="minorHAnsi" w:cstheme="minorHAnsi"/>
          <w:lang w:val="en-US"/>
        </w:rPr>
        <w:t>)</w:t>
      </w:r>
      <w:r>
        <w:rPr>
          <w:rFonts w:asciiTheme="minorHAnsi" w:hAnsiTheme="minorHAnsi" w:cstheme="minorHAnsi"/>
          <w:lang w:val="en-US"/>
        </w:rPr>
        <w:t>,</w:t>
      </w:r>
      <w:r w:rsidRPr="000E233C">
        <w:rPr>
          <w:rFonts w:asciiTheme="minorHAnsi" w:hAnsiTheme="minorHAnsi" w:cstheme="minorHAnsi"/>
          <w:lang w:val="en-US"/>
        </w:rPr>
        <w:t xml:space="preserve"> p. 57</w:t>
      </w:r>
      <w:r>
        <w:rPr>
          <w:rFonts w:asciiTheme="minorHAnsi" w:hAnsiTheme="minorHAnsi" w:cstheme="minorHAnsi"/>
          <w:lang w:val="en-US"/>
        </w:rPr>
        <w:t>.</w:t>
      </w:r>
      <w:r w:rsidRPr="000E233C">
        <w:rPr>
          <w:rFonts w:asciiTheme="minorHAnsi" w:hAnsiTheme="minorHAnsi" w:cstheme="minorHAnsi"/>
          <w:lang w:val="en-US"/>
        </w:rPr>
        <w:t xml:space="preserve"> </w:t>
      </w:r>
    </w:p>
  </w:footnote>
  <w:footnote w:id="41">
    <w:p w14:paraId="1C4C729B" w14:textId="7485E78E"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0E233C">
        <w:rPr>
          <w:rFonts w:asciiTheme="minorHAnsi" w:hAnsiTheme="minorHAnsi" w:cstheme="minorHAnsi"/>
          <w:lang w:val="en-US"/>
        </w:rPr>
        <w:t>MONEYVAL (2010</w:t>
      </w:r>
      <w:r>
        <w:rPr>
          <w:rFonts w:asciiTheme="minorHAnsi" w:hAnsiTheme="minorHAnsi" w:cstheme="minorHAnsi"/>
          <w:lang w:val="en-US"/>
        </w:rPr>
        <w:t>c</w:t>
      </w:r>
      <w:r w:rsidRPr="000E233C">
        <w:rPr>
          <w:rFonts w:asciiTheme="minorHAnsi" w:hAnsiTheme="minorHAnsi" w:cstheme="minorHAnsi"/>
          <w:lang w:val="en-US"/>
        </w:rPr>
        <w:t>)</w:t>
      </w:r>
      <w:r>
        <w:rPr>
          <w:rFonts w:asciiTheme="minorHAnsi" w:hAnsiTheme="minorHAnsi" w:cstheme="minorHAnsi"/>
          <w:lang w:val="en-US"/>
        </w:rPr>
        <w:t>,</w:t>
      </w:r>
      <w:r w:rsidRPr="000E233C">
        <w:rPr>
          <w:rFonts w:asciiTheme="minorHAnsi" w:hAnsiTheme="minorHAnsi" w:cstheme="minorHAnsi"/>
          <w:lang w:val="en-US"/>
        </w:rPr>
        <w:t xml:space="preserve"> p. 21</w:t>
      </w:r>
      <w:r>
        <w:rPr>
          <w:rFonts w:asciiTheme="minorHAnsi" w:hAnsiTheme="minorHAnsi" w:cstheme="minorHAnsi"/>
          <w:lang w:val="en-US"/>
        </w:rPr>
        <w:t>.</w:t>
      </w:r>
    </w:p>
  </w:footnote>
  <w:footnote w:id="42">
    <w:p w14:paraId="3BD55BAE" w14:textId="5062A3AE"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Section 261 of Act IV of 1978 </w:t>
      </w:r>
      <w:r w:rsidRPr="000E233C">
        <w:rPr>
          <w:rFonts w:asciiTheme="minorHAnsi" w:hAnsiTheme="minorHAnsi" w:cstheme="minorHAnsi"/>
          <w:iCs/>
          <w:lang w:val="en-US"/>
        </w:rPr>
        <w:t xml:space="preserve">of </w:t>
      </w:r>
      <w:r w:rsidRPr="000E233C">
        <w:rPr>
          <w:rFonts w:asciiTheme="minorHAnsi" w:hAnsiTheme="minorHAnsi" w:cstheme="minorHAnsi"/>
          <w:lang w:val="en-US"/>
        </w:rPr>
        <w:t>the HCC</w:t>
      </w:r>
      <w:r>
        <w:rPr>
          <w:rFonts w:asciiTheme="minorHAnsi" w:hAnsiTheme="minorHAnsi" w:cstheme="minorHAnsi"/>
          <w:lang w:val="en-US"/>
        </w:rPr>
        <w:t>.</w:t>
      </w:r>
    </w:p>
  </w:footnote>
  <w:footnote w:id="43">
    <w:p w14:paraId="032B04F8" w14:textId="732E2FBC"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Section 37(3) of the Hungarian Code of Criminal Procedure</w:t>
      </w:r>
      <w:r>
        <w:rPr>
          <w:rFonts w:asciiTheme="minorHAnsi" w:hAnsiTheme="minorHAnsi" w:cstheme="minorHAnsi"/>
          <w:lang w:val="en-US"/>
        </w:rPr>
        <w:t>.</w:t>
      </w:r>
    </w:p>
  </w:footnote>
  <w:footnote w:id="44">
    <w:p w14:paraId="246A6102" w14:textId="3AABD109"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0E233C">
        <w:rPr>
          <w:rFonts w:asciiTheme="minorHAnsi" w:hAnsiTheme="minorHAnsi" w:cstheme="minorHAnsi"/>
          <w:lang w:val="en-US"/>
        </w:rPr>
        <w:t>MONEYVAL (2010</w:t>
      </w:r>
      <w:r>
        <w:rPr>
          <w:rFonts w:asciiTheme="minorHAnsi" w:hAnsiTheme="minorHAnsi" w:cstheme="minorHAnsi"/>
          <w:lang w:val="en-US"/>
        </w:rPr>
        <w:t>c</w:t>
      </w:r>
      <w:r w:rsidRPr="000E233C">
        <w:rPr>
          <w:rFonts w:asciiTheme="minorHAnsi" w:hAnsiTheme="minorHAnsi" w:cstheme="minorHAnsi"/>
          <w:lang w:val="en-US"/>
        </w:rPr>
        <w:t>)</w:t>
      </w:r>
      <w:r>
        <w:rPr>
          <w:rFonts w:asciiTheme="minorHAnsi" w:hAnsiTheme="minorHAnsi" w:cstheme="minorHAnsi"/>
          <w:lang w:val="en-US"/>
        </w:rPr>
        <w:t xml:space="preserve">, </w:t>
      </w:r>
      <w:r w:rsidRPr="000E233C">
        <w:rPr>
          <w:rFonts w:asciiTheme="minorHAnsi" w:hAnsiTheme="minorHAnsi" w:cstheme="minorHAnsi"/>
          <w:lang w:val="en-US"/>
        </w:rPr>
        <w:t>p. 149</w:t>
      </w:r>
      <w:r>
        <w:rPr>
          <w:rFonts w:asciiTheme="minorHAnsi" w:hAnsiTheme="minorHAnsi" w:cstheme="minorHAnsi"/>
          <w:lang w:val="en-US"/>
        </w:rPr>
        <w:t>.</w:t>
      </w:r>
    </w:p>
  </w:footnote>
  <w:footnote w:id="45">
    <w:p w14:paraId="20184513" w14:textId="430D726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AA22B3">
        <w:rPr>
          <w:rFonts w:asciiTheme="minorHAnsi" w:hAnsiTheme="minorHAnsi" w:cstheme="minorHAnsi"/>
          <w:lang w:val="en-US"/>
        </w:rPr>
        <w:t>.,</w:t>
      </w:r>
      <w:r w:rsidRPr="000E233C">
        <w:rPr>
          <w:rFonts w:asciiTheme="minorHAnsi" w:hAnsiTheme="minorHAnsi" w:cstheme="minorHAnsi"/>
          <w:lang w:val="en-US"/>
        </w:rPr>
        <w:t xml:space="preserve"> p</w:t>
      </w:r>
      <w:r>
        <w:rPr>
          <w:rFonts w:asciiTheme="minorHAnsi" w:hAnsiTheme="minorHAnsi" w:cstheme="minorHAnsi"/>
          <w:lang w:val="en-US"/>
        </w:rPr>
        <w:t>.</w:t>
      </w:r>
      <w:r w:rsidRPr="000E233C">
        <w:rPr>
          <w:rFonts w:asciiTheme="minorHAnsi" w:hAnsiTheme="minorHAnsi" w:cstheme="minorHAnsi"/>
          <w:lang w:val="en-US"/>
        </w:rPr>
        <w:t xml:space="preserve"> 66</w:t>
      </w:r>
      <w:r>
        <w:rPr>
          <w:rFonts w:asciiTheme="minorHAnsi" w:hAnsiTheme="minorHAnsi" w:cstheme="minorHAnsi"/>
          <w:lang w:val="en-US"/>
        </w:rPr>
        <w:t>.</w:t>
      </w:r>
    </w:p>
  </w:footnote>
  <w:footnote w:id="46">
    <w:p w14:paraId="5E1EAEFC" w14:textId="6316CE51"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Pr>
          <w:rFonts w:asciiTheme="minorHAnsi" w:hAnsiTheme="minorHAnsi" w:cstheme="minorHAnsi"/>
          <w:lang w:val="en-US"/>
        </w:rPr>
        <w:t>.</w:t>
      </w:r>
      <w:r w:rsidRPr="00AA22B3">
        <w:rPr>
          <w:rFonts w:asciiTheme="minorHAnsi" w:hAnsiTheme="minorHAnsi" w:cstheme="minorHAnsi"/>
          <w:lang w:val="en-US"/>
        </w:rPr>
        <w:t>,</w:t>
      </w:r>
      <w:r w:rsidRPr="000E233C">
        <w:rPr>
          <w:rFonts w:asciiTheme="minorHAnsi" w:hAnsiTheme="minorHAnsi" w:cstheme="minorHAnsi"/>
          <w:lang w:val="en-US"/>
        </w:rPr>
        <w:t xml:space="preserve"> p</w:t>
      </w:r>
      <w:r>
        <w:rPr>
          <w:rFonts w:asciiTheme="minorHAnsi" w:hAnsiTheme="minorHAnsi" w:cstheme="minorHAnsi"/>
          <w:lang w:val="en-US"/>
        </w:rPr>
        <w:t>.</w:t>
      </w:r>
      <w:r w:rsidRPr="000E233C">
        <w:rPr>
          <w:rFonts w:asciiTheme="minorHAnsi" w:hAnsiTheme="minorHAnsi" w:cstheme="minorHAnsi"/>
          <w:lang w:val="en-US"/>
        </w:rPr>
        <w:t xml:space="preserve"> 174</w:t>
      </w:r>
      <w:r>
        <w:rPr>
          <w:rFonts w:asciiTheme="minorHAnsi" w:hAnsiTheme="minorHAnsi" w:cstheme="minorHAnsi"/>
          <w:lang w:val="en-US"/>
        </w:rPr>
        <w:t>.</w:t>
      </w:r>
    </w:p>
  </w:footnote>
  <w:footnote w:id="47">
    <w:p w14:paraId="5A2BE584" w14:textId="25F95B6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AA22B3">
        <w:rPr>
          <w:rFonts w:asciiTheme="minorHAnsi" w:hAnsiTheme="minorHAnsi" w:cstheme="minorHAnsi"/>
          <w:lang w:val="en-US"/>
        </w:rPr>
        <w:t>.,</w:t>
      </w:r>
      <w:r w:rsidRPr="000E233C">
        <w:rPr>
          <w:rFonts w:asciiTheme="minorHAnsi" w:hAnsiTheme="minorHAnsi" w:cstheme="minorHAnsi"/>
          <w:lang w:val="en-US"/>
        </w:rPr>
        <w:t xml:space="preserve"> p 33</w:t>
      </w:r>
      <w:r>
        <w:rPr>
          <w:rFonts w:asciiTheme="minorHAnsi" w:hAnsiTheme="minorHAnsi" w:cstheme="minorHAnsi"/>
          <w:lang w:val="en-US"/>
        </w:rPr>
        <w:t>.</w:t>
      </w:r>
    </w:p>
  </w:footnote>
  <w:footnote w:id="48">
    <w:p w14:paraId="6110EF57" w14:textId="7CF5EDC9"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EuroJustice </w:t>
      </w:r>
      <w:r>
        <w:rPr>
          <w:rFonts w:asciiTheme="minorHAnsi" w:hAnsiTheme="minorHAnsi" w:cstheme="minorHAnsi"/>
          <w:lang w:val="en-US"/>
        </w:rPr>
        <w:t>–</w:t>
      </w:r>
      <w:r w:rsidRPr="000E233C">
        <w:rPr>
          <w:rFonts w:asciiTheme="minorHAnsi" w:hAnsiTheme="minorHAnsi" w:cstheme="minorHAnsi"/>
          <w:lang w:val="en-US"/>
        </w:rPr>
        <w:t xml:space="preserve"> research on the prosecution systems in the European Union (available at:</w:t>
      </w:r>
      <w:r>
        <w:rPr>
          <w:rFonts w:asciiTheme="minorHAnsi" w:hAnsiTheme="minorHAnsi" w:cstheme="minorHAnsi"/>
          <w:lang w:val="en-US"/>
        </w:rPr>
        <w:t xml:space="preserve"> </w:t>
      </w:r>
      <w:hyperlink r:id="rId1" w:history="1">
        <w:r w:rsidRPr="006E6DCE">
          <w:rPr>
            <w:rStyle w:val="Hyperlink"/>
            <w:rFonts w:asciiTheme="minorHAnsi" w:hAnsiTheme="minorHAnsi" w:cstheme="minorHAnsi"/>
            <w:u w:val="none"/>
            <w:lang w:val="en-US"/>
          </w:rPr>
          <w:t>http://www.euro-justice.com/member_states/ireland/country_report/443/</w:t>
        </w:r>
      </w:hyperlink>
      <w:r w:rsidRPr="000E233C">
        <w:rPr>
          <w:rFonts w:asciiTheme="minorHAnsi" w:hAnsiTheme="minorHAnsi" w:cstheme="minorHAnsi"/>
          <w:lang w:val="en-US"/>
        </w:rPr>
        <w:t>)</w:t>
      </w:r>
      <w:r>
        <w:rPr>
          <w:rFonts w:asciiTheme="minorHAnsi" w:hAnsiTheme="minorHAnsi" w:cstheme="minorHAnsi"/>
          <w:lang w:val="en-US"/>
        </w:rPr>
        <w:t>.</w:t>
      </w:r>
    </w:p>
  </w:footnote>
  <w:footnote w:id="49">
    <w:p w14:paraId="61BAB625" w14:textId="49D1231F" w:rsidR="00972546" w:rsidRPr="000E233C" w:rsidRDefault="00972546" w:rsidP="00E76739">
      <w:pPr>
        <w:pStyle w:val="Footnote"/>
        <w:rPr>
          <w:rFonts w:asciiTheme="minorHAnsi" w:hAnsiTheme="minorHAnsi" w:cstheme="minorHAnsi"/>
          <w:lang w:val="en-US"/>
        </w:rPr>
      </w:pPr>
      <w:r w:rsidRPr="009E7BCA">
        <w:rPr>
          <w:rStyle w:val="FootnoteReference"/>
          <w:rFonts w:asciiTheme="minorHAnsi" w:hAnsiTheme="minorHAnsi" w:cstheme="minorHAnsi"/>
        </w:rPr>
        <w:footnoteRef/>
      </w:r>
      <w:r>
        <w:rPr>
          <w:lang w:val="en-GB"/>
        </w:rPr>
        <w:t xml:space="preserve"> </w:t>
      </w:r>
      <w:r w:rsidRPr="009E7BCA">
        <w:rPr>
          <w:lang w:val="en-GB"/>
        </w:rPr>
        <w:t>FIU Italy Reports to the NucleoSpeciale di PoliziaValutaria (NSPV) of the Guardia di Finanza (Finance Police).</w:t>
      </w:r>
    </w:p>
  </w:footnote>
  <w:footnote w:id="50">
    <w:p w14:paraId="52EA859A" w14:textId="349A63B6" w:rsidR="00972546" w:rsidRPr="000E233C" w:rsidRDefault="00972546" w:rsidP="00E76739">
      <w:pPr>
        <w:pStyle w:val="FootnoteText"/>
        <w:rPr>
          <w:lang w:val="en-US"/>
        </w:rPr>
      </w:pPr>
      <w:r>
        <w:rPr>
          <w:rStyle w:val="FootnoteReference"/>
        </w:rPr>
        <w:footnoteRef/>
      </w:r>
      <w:r>
        <w:rPr>
          <w:lang w:val="en-GB"/>
        </w:rPr>
        <w:t xml:space="preserve"> Article 47.</w:t>
      </w:r>
      <w:r w:rsidRPr="005C3F12">
        <w:rPr>
          <w:lang w:val="en-GB"/>
        </w:rPr>
        <w:t xml:space="preserve">1 d) of </w:t>
      </w:r>
      <w:r>
        <w:rPr>
          <w:lang w:val="en-GB"/>
        </w:rPr>
        <w:t xml:space="preserve">the </w:t>
      </w:r>
      <w:r w:rsidRPr="005C3F12">
        <w:rPr>
          <w:lang w:val="en-GB"/>
        </w:rPr>
        <w:t>231/2007</w:t>
      </w:r>
      <w:r>
        <w:rPr>
          <w:lang w:val="en-GB"/>
        </w:rPr>
        <w:t xml:space="preserve"> Law states ‘[...]</w:t>
      </w:r>
      <w:r w:rsidRPr="005C3F12">
        <w:rPr>
          <w:lang w:val="en-GB"/>
        </w:rPr>
        <w:t>the Bureau of Antimafia Investigation and the Special Foreign Exch</w:t>
      </w:r>
      <w:r>
        <w:rPr>
          <w:lang w:val="en-GB"/>
        </w:rPr>
        <w:t xml:space="preserve">ange Unit of the Finance Police[...] </w:t>
      </w:r>
      <w:r w:rsidRPr="005C3F12">
        <w:rPr>
          <w:lang w:val="en-GB"/>
        </w:rPr>
        <w:t>will inform the National Antimafia Prosecutor, whenever it relates to organized crime</w:t>
      </w:r>
      <w:r>
        <w:rPr>
          <w:lang w:val="en-GB"/>
        </w:rPr>
        <w:t>’</w:t>
      </w:r>
      <w:r w:rsidRPr="005C3F12">
        <w:rPr>
          <w:lang w:val="en-GB"/>
        </w:rPr>
        <w:t>.</w:t>
      </w:r>
    </w:p>
  </w:footnote>
  <w:footnote w:id="51">
    <w:p w14:paraId="0A144ED3" w14:textId="21F00CD8"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FIU Italy (2010), </w:t>
      </w:r>
      <w:r>
        <w:rPr>
          <w:rFonts w:asciiTheme="minorHAnsi" w:hAnsiTheme="minorHAnsi" w:cstheme="minorHAnsi"/>
          <w:lang w:val="en-US"/>
        </w:rPr>
        <w:t>‘</w:t>
      </w:r>
      <w:r w:rsidRPr="003E5910">
        <w:rPr>
          <w:rFonts w:asciiTheme="minorHAnsi" w:hAnsiTheme="minorHAnsi" w:cstheme="minorHAnsi"/>
          <w:lang w:val="en-US"/>
        </w:rPr>
        <w:t>Annual Report</w:t>
      </w:r>
      <w:r>
        <w:rPr>
          <w:rFonts w:asciiTheme="minorHAnsi" w:hAnsiTheme="minorHAnsi" w:cstheme="minorHAnsi"/>
          <w:lang w:val="en-US"/>
        </w:rPr>
        <w:t>’</w:t>
      </w:r>
      <w:r w:rsidRPr="000E233C">
        <w:rPr>
          <w:rFonts w:asciiTheme="minorHAnsi" w:hAnsiTheme="minorHAnsi" w:cstheme="minorHAnsi"/>
          <w:lang w:val="en-US"/>
        </w:rPr>
        <w:t>, p. 7.</w:t>
      </w:r>
    </w:p>
  </w:footnote>
  <w:footnote w:id="52">
    <w:p w14:paraId="48209B04" w14:textId="11297823"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FIU Malta, available at</w:t>
      </w:r>
      <w:r w:rsidRPr="000E233C">
        <w:rPr>
          <w:rFonts w:asciiTheme="minorHAnsi" w:hAnsiTheme="minorHAnsi" w:cstheme="minorHAnsi"/>
          <w:u w:val="single"/>
          <w:lang w:val="en-US"/>
        </w:rPr>
        <w:t xml:space="preserve">: </w:t>
      </w:r>
      <w:r w:rsidRPr="003E5910">
        <w:rPr>
          <w:rFonts w:asciiTheme="minorHAnsi" w:hAnsiTheme="minorHAnsi" w:cstheme="minorHAnsi"/>
          <w:lang w:val="en-US"/>
        </w:rPr>
        <w:t>www.fiumalta.org</w:t>
      </w:r>
      <w:r w:rsidRPr="000E233C">
        <w:rPr>
          <w:rFonts w:asciiTheme="minorHAnsi" w:hAnsiTheme="minorHAnsi" w:cstheme="minorHAnsi"/>
          <w:lang w:val="en-US"/>
        </w:rPr>
        <w:t>.</w:t>
      </w:r>
    </w:p>
  </w:footnote>
  <w:footnote w:id="53">
    <w:p w14:paraId="25E7C24B" w14:textId="7EF29CFE"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FATF (2011</w:t>
      </w:r>
      <w:r>
        <w:rPr>
          <w:rFonts w:asciiTheme="minorHAnsi" w:hAnsiTheme="minorHAnsi" w:cstheme="minorHAnsi"/>
          <w:lang w:val="en-US"/>
        </w:rPr>
        <w:t>b</w:t>
      </w:r>
      <w:r w:rsidRPr="000E233C">
        <w:rPr>
          <w:rFonts w:asciiTheme="minorHAnsi" w:hAnsiTheme="minorHAnsi" w:cstheme="minorHAnsi"/>
          <w:lang w:val="en-US"/>
        </w:rPr>
        <w:t>), p. 91</w:t>
      </w:r>
      <w:r>
        <w:rPr>
          <w:rFonts w:asciiTheme="minorHAnsi" w:hAnsiTheme="minorHAnsi" w:cstheme="minorHAnsi"/>
          <w:lang w:val="en-US"/>
        </w:rPr>
        <w:t>.</w:t>
      </w:r>
    </w:p>
  </w:footnote>
  <w:footnote w:id="54">
    <w:p w14:paraId="471588EB" w14:textId="11A2ACEC"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3E4687">
        <w:rPr>
          <w:rFonts w:asciiTheme="minorHAnsi" w:hAnsiTheme="minorHAnsi" w:cstheme="minorHAnsi"/>
          <w:lang w:val="en-US"/>
        </w:rPr>
        <w:t>.</w:t>
      </w:r>
    </w:p>
    <w:p w14:paraId="203278C3" w14:textId="77777777" w:rsidR="00972546" w:rsidRPr="000E233C" w:rsidRDefault="00972546" w:rsidP="00E76739">
      <w:pPr>
        <w:pStyle w:val="Footnote"/>
        <w:rPr>
          <w:rFonts w:asciiTheme="minorHAnsi" w:hAnsiTheme="minorHAnsi" w:cstheme="minorHAnsi"/>
          <w:lang w:val="en-US"/>
        </w:rPr>
      </w:pPr>
    </w:p>
  </w:footnote>
  <w:footnote w:id="55">
    <w:p w14:paraId="4B4F9F11" w14:textId="3C7DCB03"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FATF (2011</w:t>
      </w:r>
      <w:r>
        <w:rPr>
          <w:rFonts w:asciiTheme="minorHAnsi" w:hAnsiTheme="minorHAnsi" w:cstheme="minorHAnsi"/>
          <w:lang w:val="en-US"/>
        </w:rPr>
        <w:t>b</w:t>
      </w:r>
      <w:r w:rsidRPr="000E233C">
        <w:rPr>
          <w:rFonts w:asciiTheme="minorHAnsi" w:hAnsiTheme="minorHAnsi" w:cstheme="minorHAnsi"/>
          <w:lang w:val="en-US"/>
        </w:rPr>
        <w:t>), p. 39</w:t>
      </w:r>
      <w:r>
        <w:rPr>
          <w:rFonts w:asciiTheme="minorHAnsi" w:hAnsiTheme="minorHAnsi" w:cstheme="minorHAnsi"/>
          <w:lang w:val="en-US"/>
        </w:rPr>
        <w:t>.</w:t>
      </w:r>
    </w:p>
  </w:footnote>
  <w:footnote w:id="56">
    <w:p w14:paraId="48961AEE" w14:textId="7777777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 simple yet clear and well-structured picture of the AML/CTF system is provided on the website of the Ministry of Finance at </w:t>
      </w:r>
      <w:hyperlink r:id="rId2" w:history="1">
        <w:r w:rsidRPr="006E6DCE">
          <w:rPr>
            <w:rStyle w:val="Hyperlink"/>
            <w:rFonts w:asciiTheme="minorHAnsi" w:hAnsiTheme="minorHAnsi" w:cstheme="minorHAnsi"/>
            <w:u w:val="none"/>
            <w:lang w:val="en-US"/>
          </w:rPr>
          <w:t>www.mf.gov.pl/en/ministry-of-finance/aml-ctf/system</w:t>
        </w:r>
      </w:hyperlink>
      <w:r w:rsidRPr="000E233C">
        <w:rPr>
          <w:rFonts w:asciiTheme="minorHAnsi" w:hAnsiTheme="minorHAnsi" w:cstheme="minorHAnsi"/>
          <w:lang w:val="en-US"/>
        </w:rPr>
        <w:t xml:space="preserve">. </w:t>
      </w:r>
    </w:p>
  </w:footnote>
  <w:footnote w:id="57">
    <w:p w14:paraId="4193E870" w14:textId="40E20CFA"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Articles 31</w:t>
      </w:r>
      <w:r>
        <w:rPr>
          <w:rFonts w:asciiTheme="minorHAnsi" w:hAnsiTheme="minorHAnsi" w:cstheme="minorHAnsi"/>
          <w:lang w:val="en-US"/>
        </w:rPr>
        <w:t>–</w:t>
      </w:r>
      <w:r w:rsidRPr="000E233C">
        <w:rPr>
          <w:rFonts w:asciiTheme="minorHAnsi" w:hAnsiTheme="minorHAnsi" w:cstheme="minorHAnsi"/>
          <w:lang w:val="en-US"/>
        </w:rPr>
        <w:t>3 of the Polish AML/CTF Act</w:t>
      </w:r>
      <w:r>
        <w:rPr>
          <w:rFonts w:asciiTheme="minorHAnsi" w:hAnsiTheme="minorHAnsi" w:cstheme="minorHAnsi"/>
          <w:lang w:val="en-US"/>
        </w:rPr>
        <w:t>.</w:t>
      </w:r>
    </w:p>
  </w:footnote>
  <w:footnote w:id="58">
    <w:p w14:paraId="6248F191" w14:textId="3E8A6B36"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FIU Poland (2010)</w:t>
      </w:r>
      <w:r>
        <w:rPr>
          <w:rFonts w:asciiTheme="minorHAnsi" w:hAnsiTheme="minorHAnsi" w:cstheme="minorHAnsi"/>
          <w:lang w:val="en-US"/>
        </w:rPr>
        <w:t>,</w:t>
      </w:r>
      <w:r w:rsidRPr="000E233C">
        <w:rPr>
          <w:rFonts w:asciiTheme="minorHAnsi" w:hAnsiTheme="minorHAnsi" w:cstheme="minorHAnsi"/>
          <w:lang w:val="en-US"/>
        </w:rPr>
        <w:t xml:space="preserve"> </w:t>
      </w:r>
      <w:r>
        <w:rPr>
          <w:rFonts w:asciiTheme="minorHAnsi" w:hAnsiTheme="minorHAnsi" w:cstheme="minorHAnsi"/>
          <w:lang w:val="en-US"/>
        </w:rPr>
        <w:t>‘</w:t>
      </w:r>
      <w:r w:rsidRPr="003E5910">
        <w:rPr>
          <w:rFonts w:asciiTheme="minorHAnsi" w:hAnsiTheme="minorHAnsi" w:cstheme="minorHAnsi"/>
          <w:lang w:val="en-US"/>
        </w:rPr>
        <w:t xml:space="preserve">Annual </w:t>
      </w:r>
      <w:r>
        <w:rPr>
          <w:rFonts w:asciiTheme="minorHAnsi" w:hAnsiTheme="minorHAnsi" w:cstheme="minorHAnsi"/>
          <w:lang w:val="en-US"/>
        </w:rPr>
        <w:t>R</w:t>
      </w:r>
      <w:r w:rsidRPr="003E5910">
        <w:rPr>
          <w:rFonts w:asciiTheme="minorHAnsi" w:hAnsiTheme="minorHAnsi" w:cstheme="minorHAnsi"/>
          <w:lang w:val="en-US"/>
        </w:rPr>
        <w:t>eport</w:t>
      </w:r>
      <w:r>
        <w:rPr>
          <w:rFonts w:asciiTheme="minorHAnsi" w:hAnsiTheme="minorHAnsi" w:cstheme="minorHAnsi"/>
          <w:lang w:val="en-US"/>
        </w:rPr>
        <w:t>’</w:t>
      </w:r>
      <w:r w:rsidRPr="00701EC1">
        <w:rPr>
          <w:rFonts w:asciiTheme="minorHAnsi" w:hAnsiTheme="minorHAnsi" w:cstheme="minorHAnsi"/>
          <w:lang w:val="en-US"/>
        </w:rPr>
        <w:t>,</w:t>
      </w:r>
      <w:r w:rsidRPr="000E233C">
        <w:rPr>
          <w:rFonts w:asciiTheme="minorHAnsi" w:hAnsiTheme="minorHAnsi" w:cstheme="minorHAnsi"/>
          <w:lang w:val="en-US"/>
        </w:rPr>
        <w:t xml:space="preserve"> p</w:t>
      </w:r>
      <w:r>
        <w:rPr>
          <w:rFonts w:asciiTheme="minorHAnsi" w:hAnsiTheme="minorHAnsi" w:cstheme="minorHAnsi"/>
          <w:lang w:val="en-US"/>
        </w:rPr>
        <w:t>p</w:t>
      </w:r>
      <w:r w:rsidRPr="000E233C">
        <w:rPr>
          <w:rFonts w:asciiTheme="minorHAnsi" w:hAnsiTheme="minorHAnsi" w:cstheme="minorHAnsi"/>
          <w:lang w:val="en-US"/>
        </w:rPr>
        <w:t>. 10</w:t>
      </w:r>
      <w:r>
        <w:rPr>
          <w:rFonts w:asciiTheme="minorHAnsi" w:hAnsiTheme="minorHAnsi" w:cstheme="minorHAnsi"/>
          <w:lang w:val="en-US"/>
        </w:rPr>
        <w:t>–</w:t>
      </w:r>
      <w:r w:rsidRPr="000E233C">
        <w:rPr>
          <w:rFonts w:asciiTheme="minorHAnsi" w:hAnsiTheme="minorHAnsi" w:cstheme="minorHAnsi"/>
          <w:lang w:val="en-US"/>
        </w:rPr>
        <w:t>11</w:t>
      </w:r>
      <w:r>
        <w:rPr>
          <w:rFonts w:asciiTheme="minorHAnsi" w:hAnsiTheme="minorHAnsi" w:cstheme="minorHAnsi"/>
          <w:lang w:val="en-US"/>
        </w:rPr>
        <w:t>.</w:t>
      </w:r>
    </w:p>
  </w:footnote>
  <w:footnote w:id="59">
    <w:p w14:paraId="2368428F" w14:textId="5F3FCA16"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Articles 4(3) and 14.2 of the Polish AML/CTF Act</w:t>
      </w:r>
      <w:r>
        <w:rPr>
          <w:rFonts w:asciiTheme="minorHAnsi" w:hAnsiTheme="minorHAnsi" w:cstheme="minorHAnsi"/>
          <w:lang w:val="en-US"/>
        </w:rPr>
        <w:t>.</w:t>
      </w:r>
    </w:p>
  </w:footnote>
  <w:footnote w:id="60">
    <w:p w14:paraId="71CE3D97" w14:textId="440BF9DC"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Euro-Justice Report 2010, p.</w:t>
      </w:r>
      <w:r>
        <w:rPr>
          <w:rFonts w:asciiTheme="minorHAnsi" w:hAnsiTheme="minorHAnsi" w:cstheme="minorHAnsi"/>
          <w:lang w:val="en-US"/>
        </w:rPr>
        <w:t xml:space="preserve"> </w:t>
      </w:r>
      <w:r w:rsidRPr="000E233C">
        <w:rPr>
          <w:rFonts w:asciiTheme="minorHAnsi" w:hAnsiTheme="minorHAnsi" w:cstheme="minorHAnsi"/>
          <w:lang w:val="en-US"/>
        </w:rPr>
        <w:t>603</w:t>
      </w:r>
      <w:r>
        <w:rPr>
          <w:rFonts w:asciiTheme="minorHAnsi" w:hAnsiTheme="minorHAnsi" w:cstheme="minorHAnsi"/>
          <w:lang w:val="en-US"/>
        </w:rPr>
        <w:t>.</w:t>
      </w:r>
    </w:p>
  </w:footnote>
  <w:footnote w:id="61">
    <w:p w14:paraId="101DBB4D" w14:textId="6EBF710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0E233C">
        <w:rPr>
          <w:rFonts w:asciiTheme="minorHAnsi" w:hAnsiTheme="minorHAnsi" w:cstheme="minorHAnsi"/>
          <w:lang w:val="en-US"/>
        </w:rPr>
        <w:t>MONEYVAL (2008)</w:t>
      </w:r>
      <w:r>
        <w:rPr>
          <w:rFonts w:asciiTheme="minorHAnsi" w:hAnsiTheme="minorHAnsi" w:cstheme="minorHAnsi"/>
          <w:lang w:val="en-US"/>
        </w:rPr>
        <w:t>,</w:t>
      </w:r>
      <w:r w:rsidRPr="000E233C">
        <w:rPr>
          <w:rFonts w:asciiTheme="minorHAnsi" w:hAnsiTheme="minorHAnsi" w:cstheme="minorHAnsi"/>
          <w:lang w:val="en-US"/>
        </w:rPr>
        <w:t xml:space="preserve"> </w:t>
      </w:r>
      <w:r>
        <w:rPr>
          <w:rFonts w:asciiTheme="minorHAnsi" w:hAnsiTheme="minorHAnsi" w:cstheme="minorHAnsi"/>
          <w:lang w:val="en-US"/>
        </w:rPr>
        <w:t>‘</w:t>
      </w:r>
      <w:r w:rsidRPr="003E5910">
        <w:rPr>
          <w:rFonts w:asciiTheme="minorHAnsi" w:hAnsiTheme="minorHAnsi" w:cstheme="minorHAnsi"/>
          <w:lang w:val="en-US"/>
        </w:rPr>
        <w:t xml:space="preserve">First </w:t>
      </w:r>
      <w:r>
        <w:rPr>
          <w:rFonts w:asciiTheme="minorHAnsi" w:hAnsiTheme="minorHAnsi" w:cstheme="minorHAnsi"/>
          <w:lang w:val="en-US"/>
        </w:rPr>
        <w:t>F</w:t>
      </w:r>
      <w:r w:rsidRPr="003E5910">
        <w:rPr>
          <w:rFonts w:asciiTheme="minorHAnsi" w:hAnsiTheme="minorHAnsi" w:cstheme="minorHAnsi"/>
          <w:lang w:val="en-US"/>
        </w:rPr>
        <w:t xml:space="preserve">ollow-up </w:t>
      </w:r>
      <w:r>
        <w:rPr>
          <w:rFonts w:asciiTheme="minorHAnsi" w:hAnsiTheme="minorHAnsi" w:cstheme="minorHAnsi"/>
          <w:lang w:val="en-US"/>
        </w:rPr>
        <w:t>R</w:t>
      </w:r>
      <w:r w:rsidRPr="003E5910">
        <w:rPr>
          <w:rFonts w:asciiTheme="minorHAnsi" w:hAnsiTheme="minorHAnsi" w:cstheme="minorHAnsi"/>
          <w:lang w:val="en-US"/>
        </w:rPr>
        <w:t>eport on Poland</w:t>
      </w:r>
      <w:r>
        <w:rPr>
          <w:rFonts w:asciiTheme="minorHAnsi" w:hAnsiTheme="minorHAnsi" w:cstheme="minorHAnsi"/>
          <w:lang w:val="en-US"/>
        </w:rPr>
        <w:t>’</w:t>
      </w:r>
      <w:r w:rsidRPr="00904767">
        <w:rPr>
          <w:rFonts w:asciiTheme="minorHAnsi" w:hAnsiTheme="minorHAnsi" w:cstheme="minorHAnsi"/>
          <w:lang w:val="en-US"/>
        </w:rPr>
        <w:t>,</w:t>
      </w:r>
      <w:r w:rsidRPr="000E233C">
        <w:rPr>
          <w:rFonts w:asciiTheme="minorHAnsi" w:hAnsiTheme="minorHAnsi" w:cstheme="minorHAnsi"/>
          <w:lang w:val="en-US"/>
        </w:rPr>
        <w:t xml:space="preserve"> p.</w:t>
      </w:r>
      <w:r>
        <w:rPr>
          <w:rFonts w:asciiTheme="minorHAnsi" w:hAnsiTheme="minorHAnsi" w:cstheme="minorHAnsi"/>
          <w:lang w:val="en-US"/>
        </w:rPr>
        <w:t xml:space="preserve"> </w:t>
      </w:r>
      <w:r w:rsidRPr="000E233C">
        <w:rPr>
          <w:rFonts w:asciiTheme="minorHAnsi" w:hAnsiTheme="minorHAnsi" w:cstheme="minorHAnsi"/>
          <w:lang w:val="en-US"/>
        </w:rPr>
        <w:t>9</w:t>
      </w:r>
      <w:r>
        <w:rPr>
          <w:rFonts w:asciiTheme="minorHAnsi" w:hAnsiTheme="minorHAnsi" w:cstheme="minorHAnsi"/>
          <w:lang w:val="en-US"/>
        </w:rPr>
        <w:t>.</w:t>
      </w:r>
    </w:p>
  </w:footnote>
  <w:footnote w:id="62">
    <w:p w14:paraId="5FA72CBF" w14:textId="39CB8C9E"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FATF (2008), </w:t>
      </w:r>
      <w:r>
        <w:rPr>
          <w:rFonts w:asciiTheme="minorHAnsi" w:hAnsiTheme="minorHAnsi" w:cstheme="minorHAnsi"/>
          <w:lang w:val="en-US"/>
        </w:rPr>
        <w:t>‘</w:t>
      </w:r>
      <w:r w:rsidRPr="003E5910">
        <w:rPr>
          <w:rFonts w:asciiTheme="minorHAnsi" w:hAnsiTheme="minorHAnsi" w:cstheme="minorHAnsi"/>
          <w:lang w:val="en-US"/>
        </w:rPr>
        <w:t>Follow Up Report on Portugal</w:t>
      </w:r>
      <w:r>
        <w:rPr>
          <w:rFonts w:asciiTheme="minorHAnsi" w:hAnsiTheme="minorHAnsi" w:cstheme="minorHAnsi"/>
          <w:lang w:val="en-US"/>
        </w:rPr>
        <w:t>’</w:t>
      </w:r>
      <w:r w:rsidRPr="003E5910">
        <w:rPr>
          <w:rFonts w:asciiTheme="minorHAnsi" w:hAnsiTheme="minorHAnsi" w:cstheme="minorHAnsi"/>
          <w:lang w:val="en-US"/>
        </w:rPr>
        <w:t>,</w:t>
      </w:r>
      <w:r w:rsidRPr="000E233C">
        <w:rPr>
          <w:rFonts w:asciiTheme="minorHAnsi" w:hAnsiTheme="minorHAnsi" w:cstheme="minorHAnsi"/>
          <w:lang w:val="en-US"/>
        </w:rPr>
        <w:t xml:space="preserve"> p. 66.</w:t>
      </w:r>
    </w:p>
  </w:footnote>
  <w:footnote w:id="63">
    <w:p w14:paraId="2B6C88EF" w14:textId="1E050EEE"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FIU Slovenia</w:t>
      </w:r>
      <w:r>
        <w:rPr>
          <w:rFonts w:asciiTheme="minorHAnsi" w:hAnsiTheme="minorHAnsi" w:cstheme="minorHAnsi"/>
          <w:lang w:val="en-US"/>
        </w:rPr>
        <w:t xml:space="preserve"> </w:t>
      </w:r>
      <w:r w:rsidRPr="000E233C">
        <w:rPr>
          <w:rFonts w:asciiTheme="minorHAnsi" w:hAnsiTheme="minorHAnsi" w:cstheme="minorHAnsi"/>
          <w:lang w:val="en-US"/>
        </w:rPr>
        <w:t xml:space="preserve">(2010), </w:t>
      </w:r>
      <w:r>
        <w:rPr>
          <w:rFonts w:asciiTheme="minorHAnsi" w:hAnsiTheme="minorHAnsi" w:cstheme="minorHAnsi"/>
          <w:lang w:val="en-US"/>
        </w:rPr>
        <w:t>‘</w:t>
      </w:r>
      <w:r w:rsidRPr="003E5910">
        <w:rPr>
          <w:rFonts w:asciiTheme="minorHAnsi" w:hAnsiTheme="minorHAnsi" w:cstheme="minorHAnsi"/>
          <w:lang w:val="en-US"/>
        </w:rPr>
        <w:t xml:space="preserve">Annual </w:t>
      </w:r>
      <w:r>
        <w:rPr>
          <w:rFonts w:asciiTheme="minorHAnsi" w:hAnsiTheme="minorHAnsi" w:cstheme="minorHAnsi"/>
          <w:lang w:val="en-US"/>
        </w:rPr>
        <w:t>R</w:t>
      </w:r>
      <w:r w:rsidRPr="003E5910">
        <w:rPr>
          <w:rFonts w:asciiTheme="minorHAnsi" w:hAnsiTheme="minorHAnsi" w:cstheme="minorHAnsi"/>
          <w:lang w:val="en-US"/>
        </w:rPr>
        <w:t>eport</w:t>
      </w:r>
      <w:r>
        <w:rPr>
          <w:rFonts w:asciiTheme="minorHAnsi" w:hAnsiTheme="minorHAnsi" w:cstheme="minorHAnsi"/>
          <w:lang w:val="en-US"/>
        </w:rPr>
        <w:t>’</w:t>
      </w:r>
      <w:r w:rsidRPr="003E5910">
        <w:rPr>
          <w:rFonts w:asciiTheme="minorHAnsi" w:hAnsiTheme="minorHAnsi" w:cstheme="minorHAnsi"/>
          <w:lang w:val="en-US"/>
        </w:rPr>
        <w:t>,</w:t>
      </w:r>
      <w:r>
        <w:rPr>
          <w:rFonts w:asciiTheme="minorHAnsi" w:hAnsiTheme="minorHAnsi" w:cstheme="minorHAnsi"/>
          <w:i/>
          <w:lang w:val="en-US"/>
        </w:rPr>
        <w:t xml:space="preserve"> </w:t>
      </w:r>
      <w:r w:rsidRPr="000E233C">
        <w:rPr>
          <w:rFonts w:asciiTheme="minorHAnsi" w:hAnsiTheme="minorHAnsi" w:cstheme="minorHAnsi"/>
          <w:lang w:val="en-US"/>
        </w:rPr>
        <w:t>p</w:t>
      </w:r>
      <w:r>
        <w:rPr>
          <w:rFonts w:asciiTheme="minorHAnsi" w:hAnsiTheme="minorHAnsi" w:cstheme="minorHAnsi"/>
          <w:lang w:val="en-US"/>
        </w:rPr>
        <w:t>p</w:t>
      </w:r>
      <w:r w:rsidRPr="000E233C">
        <w:rPr>
          <w:rFonts w:asciiTheme="minorHAnsi" w:hAnsiTheme="minorHAnsi" w:cstheme="minorHAnsi"/>
          <w:lang w:val="en-US"/>
        </w:rPr>
        <w:t>. 2</w:t>
      </w:r>
      <w:r>
        <w:rPr>
          <w:rFonts w:asciiTheme="minorHAnsi" w:hAnsiTheme="minorHAnsi" w:cstheme="minorHAnsi"/>
          <w:lang w:val="en-US"/>
        </w:rPr>
        <w:t>–</w:t>
      </w:r>
      <w:r w:rsidRPr="000E233C">
        <w:rPr>
          <w:rFonts w:asciiTheme="minorHAnsi" w:hAnsiTheme="minorHAnsi" w:cstheme="minorHAnsi"/>
          <w:lang w:val="en-US"/>
        </w:rPr>
        <w:t>3</w:t>
      </w:r>
      <w:r>
        <w:rPr>
          <w:rFonts w:asciiTheme="minorHAnsi" w:hAnsiTheme="minorHAnsi" w:cstheme="minorHAnsi"/>
          <w:lang w:val="en-US"/>
        </w:rPr>
        <w:t>.</w:t>
      </w:r>
    </w:p>
  </w:footnote>
  <w:footnote w:id="64">
    <w:p w14:paraId="7DCE01BA" w14:textId="6A1847BD"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Ibid.,</w:t>
      </w:r>
      <w:r>
        <w:rPr>
          <w:rFonts w:asciiTheme="minorHAnsi" w:hAnsiTheme="minorHAnsi" w:cstheme="minorHAnsi"/>
          <w:i/>
          <w:lang w:val="en-US"/>
        </w:rPr>
        <w:t xml:space="preserve"> </w:t>
      </w:r>
      <w:r w:rsidRPr="000E233C">
        <w:rPr>
          <w:rFonts w:asciiTheme="minorHAnsi" w:hAnsiTheme="minorHAnsi" w:cstheme="minorHAnsi"/>
          <w:lang w:val="en-US"/>
        </w:rPr>
        <w:t>p</w:t>
      </w:r>
      <w:r>
        <w:rPr>
          <w:rFonts w:asciiTheme="minorHAnsi" w:hAnsiTheme="minorHAnsi" w:cstheme="minorHAnsi"/>
          <w:lang w:val="en-US"/>
        </w:rPr>
        <w:t>p</w:t>
      </w:r>
      <w:r w:rsidRPr="000E233C">
        <w:rPr>
          <w:rFonts w:asciiTheme="minorHAnsi" w:hAnsiTheme="minorHAnsi" w:cstheme="minorHAnsi"/>
          <w:lang w:val="en-US"/>
        </w:rPr>
        <w:t>. 11</w:t>
      </w:r>
      <w:r>
        <w:rPr>
          <w:rFonts w:asciiTheme="minorHAnsi" w:hAnsiTheme="minorHAnsi" w:cstheme="minorHAnsi"/>
          <w:lang w:val="en-US"/>
        </w:rPr>
        <w:t>–</w:t>
      </w:r>
      <w:r w:rsidRPr="000E233C">
        <w:rPr>
          <w:rFonts w:asciiTheme="minorHAnsi" w:hAnsiTheme="minorHAnsi" w:cstheme="minorHAnsi"/>
          <w:lang w:val="en-US"/>
        </w:rPr>
        <w:t>12</w:t>
      </w:r>
      <w:r>
        <w:rPr>
          <w:rFonts w:asciiTheme="minorHAnsi" w:hAnsiTheme="minorHAnsi" w:cstheme="minorHAnsi"/>
          <w:lang w:val="en-US"/>
        </w:rPr>
        <w:t>.</w:t>
      </w:r>
    </w:p>
  </w:footnote>
  <w:footnote w:id="65">
    <w:p w14:paraId="632532A8" w14:textId="2CC3E469"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MONEYVAL (201</w:t>
      </w:r>
      <w:r>
        <w:rPr>
          <w:rFonts w:asciiTheme="minorHAnsi" w:hAnsiTheme="minorHAnsi" w:cstheme="minorHAnsi"/>
          <w:lang w:val="en-US"/>
        </w:rPr>
        <w:t>1b</w:t>
      </w:r>
      <w:r w:rsidRPr="000E233C">
        <w:rPr>
          <w:rFonts w:asciiTheme="minorHAnsi" w:hAnsiTheme="minorHAnsi" w:cstheme="minorHAnsi"/>
          <w:lang w:val="en-US"/>
        </w:rPr>
        <w:t>),</w:t>
      </w:r>
      <w:r w:rsidRPr="000E233C">
        <w:rPr>
          <w:rFonts w:asciiTheme="minorHAnsi" w:hAnsiTheme="minorHAnsi" w:cstheme="minorHAnsi"/>
          <w:i/>
          <w:lang w:val="en-US"/>
        </w:rPr>
        <w:t xml:space="preserve"> </w:t>
      </w:r>
      <w:r>
        <w:rPr>
          <w:rFonts w:asciiTheme="minorHAnsi" w:hAnsiTheme="minorHAnsi" w:cstheme="minorHAnsi"/>
          <w:lang w:val="en-US"/>
        </w:rPr>
        <w:t>p.</w:t>
      </w:r>
      <w:r w:rsidRPr="000E233C">
        <w:rPr>
          <w:rFonts w:asciiTheme="minorHAnsi" w:hAnsiTheme="minorHAnsi" w:cstheme="minorHAnsi"/>
          <w:lang w:val="en-US"/>
        </w:rPr>
        <w:t xml:space="preserve"> 61</w:t>
      </w:r>
      <w:r>
        <w:rPr>
          <w:rFonts w:asciiTheme="minorHAnsi" w:hAnsiTheme="minorHAnsi" w:cstheme="minorHAnsi"/>
          <w:lang w:val="en-US"/>
        </w:rPr>
        <w:t>.</w:t>
      </w:r>
    </w:p>
  </w:footnote>
  <w:footnote w:id="66">
    <w:p w14:paraId="25153B10" w14:textId="721E4F3B"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Article 75 of the Slovenian AML/CTF </w:t>
      </w:r>
      <w:r>
        <w:rPr>
          <w:rFonts w:asciiTheme="minorHAnsi" w:hAnsiTheme="minorHAnsi" w:cstheme="minorHAnsi"/>
          <w:lang w:val="en-US"/>
        </w:rPr>
        <w:t>L</w:t>
      </w:r>
      <w:r w:rsidRPr="000E233C">
        <w:rPr>
          <w:rFonts w:asciiTheme="minorHAnsi" w:hAnsiTheme="minorHAnsi" w:cstheme="minorHAnsi"/>
          <w:lang w:val="en-US"/>
        </w:rPr>
        <w:t>aw</w:t>
      </w:r>
      <w:r>
        <w:rPr>
          <w:rFonts w:asciiTheme="minorHAnsi" w:hAnsiTheme="minorHAnsi" w:cstheme="minorHAnsi"/>
          <w:lang w:val="en-US"/>
        </w:rPr>
        <w:t>.</w:t>
      </w:r>
    </w:p>
  </w:footnote>
  <w:footnote w:id="67">
    <w:p w14:paraId="3A879B19" w14:textId="1AC724D8"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FIU Slovenia (2010), </w:t>
      </w:r>
      <w:r>
        <w:rPr>
          <w:rFonts w:asciiTheme="minorHAnsi" w:hAnsiTheme="minorHAnsi" w:cstheme="minorHAnsi"/>
          <w:lang w:val="en-US"/>
        </w:rPr>
        <w:t>‘</w:t>
      </w:r>
      <w:r w:rsidRPr="003E5910">
        <w:rPr>
          <w:rFonts w:asciiTheme="minorHAnsi" w:hAnsiTheme="minorHAnsi" w:cstheme="minorHAnsi"/>
          <w:lang w:val="en-US"/>
        </w:rPr>
        <w:t xml:space="preserve">Annual </w:t>
      </w:r>
      <w:r>
        <w:rPr>
          <w:rFonts w:asciiTheme="minorHAnsi" w:hAnsiTheme="minorHAnsi" w:cstheme="minorHAnsi"/>
          <w:lang w:val="en-US"/>
        </w:rPr>
        <w:t>R</w:t>
      </w:r>
      <w:r w:rsidRPr="003E5910">
        <w:rPr>
          <w:rFonts w:asciiTheme="minorHAnsi" w:hAnsiTheme="minorHAnsi" w:cstheme="minorHAnsi"/>
          <w:lang w:val="en-US"/>
        </w:rPr>
        <w:t>eport</w:t>
      </w:r>
      <w:r>
        <w:rPr>
          <w:rFonts w:asciiTheme="minorHAnsi" w:hAnsiTheme="minorHAnsi" w:cstheme="minorHAnsi"/>
          <w:lang w:val="en-US"/>
        </w:rPr>
        <w:t>’,</w:t>
      </w:r>
      <w:r w:rsidRPr="000E233C">
        <w:rPr>
          <w:rFonts w:asciiTheme="minorHAnsi" w:hAnsiTheme="minorHAnsi" w:cstheme="minorHAnsi"/>
          <w:lang w:val="en-US"/>
        </w:rPr>
        <w:t xml:space="preserve"> p. 10</w:t>
      </w:r>
      <w:r>
        <w:rPr>
          <w:rFonts w:asciiTheme="minorHAnsi" w:hAnsiTheme="minorHAnsi" w:cstheme="minorHAnsi"/>
          <w:lang w:val="en-US"/>
        </w:rPr>
        <w:t>.</w:t>
      </w:r>
    </w:p>
  </w:footnote>
  <w:footnote w:id="68">
    <w:p w14:paraId="7F55D017" w14:textId="3ABF361C"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MONEYVAL (201</w:t>
      </w:r>
      <w:r>
        <w:rPr>
          <w:rFonts w:asciiTheme="minorHAnsi" w:hAnsiTheme="minorHAnsi" w:cstheme="minorHAnsi"/>
          <w:lang w:val="en-US"/>
        </w:rPr>
        <w:t>1b</w:t>
      </w:r>
      <w:r w:rsidRPr="000E233C">
        <w:rPr>
          <w:rFonts w:asciiTheme="minorHAnsi" w:hAnsiTheme="minorHAnsi" w:cstheme="minorHAnsi"/>
          <w:lang w:val="en-US"/>
        </w:rPr>
        <w:t xml:space="preserve">), </w:t>
      </w:r>
      <w:r>
        <w:rPr>
          <w:rFonts w:asciiTheme="minorHAnsi" w:hAnsiTheme="minorHAnsi" w:cstheme="minorHAnsi"/>
          <w:lang w:val="en-US"/>
        </w:rPr>
        <w:t>p.</w:t>
      </w:r>
      <w:r w:rsidRPr="000E233C">
        <w:rPr>
          <w:rFonts w:asciiTheme="minorHAnsi" w:hAnsiTheme="minorHAnsi" w:cstheme="minorHAnsi"/>
          <w:lang w:val="en-US"/>
        </w:rPr>
        <w:t xml:space="preserve"> 51</w:t>
      </w:r>
      <w:r>
        <w:rPr>
          <w:rFonts w:asciiTheme="minorHAnsi" w:hAnsiTheme="minorHAnsi" w:cstheme="minorHAnsi"/>
          <w:lang w:val="en-US"/>
        </w:rPr>
        <w:t>.</w:t>
      </w:r>
    </w:p>
  </w:footnote>
  <w:footnote w:id="69">
    <w:p w14:paraId="1A1D0389" w14:textId="1BD7165B"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MONEYVAL (201</w:t>
      </w:r>
      <w:r>
        <w:rPr>
          <w:rFonts w:asciiTheme="minorHAnsi" w:hAnsiTheme="minorHAnsi" w:cstheme="minorHAnsi"/>
          <w:lang w:val="en-US"/>
        </w:rPr>
        <w:t>1b</w:t>
      </w:r>
      <w:r w:rsidRPr="000E233C">
        <w:rPr>
          <w:rFonts w:asciiTheme="minorHAnsi" w:hAnsiTheme="minorHAnsi" w:cstheme="minorHAnsi"/>
          <w:lang w:val="en-US"/>
        </w:rPr>
        <w:t xml:space="preserve">), </w:t>
      </w:r>
      <w:r>
        <w:rPr>
          <w:rFonts w:asciiTheme="minorHAnsi" w:hAnsiTheme="minorHAnsi" w:cstheme="minorHAnsi"/>
          <w:lang w:val="en-US"/>
        </w:rPr>
        <w:t>p.</w:t>
      </w:r>
      <w:r w:rsidRPr="000E233C">
        <w:rPr>
          <w:rFonts w:asciiTheme="minorHAnsi" w:hAnsiTheme="minorHAnsi" w:cstheme="minorHAnsi"/>
          <w:lang w:val="en-US"/>
        </w:rPr>
        <w:t xml:space="preserve"> 58</w:t>
      </w:r>
      <w:r>
        <w:rPr>
          <w:rFonts w:asciiTheme="minorHAnsi" w:hAnsiTheme="minorHAnsi" w:cstheme="minorHAnsi"/>
          <w:lang w:val="en-US"/>
        </w:rPr>
        <w:t>.</w:t>
      </w:r>
    </w:p>
  </w:footnote>
  <w:footnote w:id="70">
    <w:p w14:paraId="661D57F0" w14:textId="25815A4E"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CA02AE">
        <w:rPr>
          <w:rFonts w:asciiTheme="minorHAnsi" w:hAnsiTheme="minorHAnsi" w:cstheme="minorHAnsi"/>
          <w:lang w:val="en-US"/>
        </w:rPr>
        <w:t>.,</w:t>
      </w:r>
      <w:r w:rsidRPr="000E233C">
        <w:rPr>
          <w:rFonts w:asciiTheme="minorHAnsi" w:hAnsiTheme="minorHAnsi" w:cstheme="minorHAnsi"/>
          <w:lang w:val="en-US"/>
        </w:rPr>
        <w:t xml:space="preserve"> p. 45</w:t>
      </w:r>
      <w:r>
        <w:rPr>
          <w:rFonts w:asciiTheme="minorHAnsi" w:hAnsiTheme="minorHAnsi" w:cstheme="minorHAnsi"/>
          <w:lang w:val="en-US"/>
        </w:rPr>
        <w:t>.</w:t>
      </w:r>
    </w:p>
  </w:footnote>
  <w:footnote w:id="71">
    <w:p w14:paraId="0EC382BC" w14:textId="2E2DEB06"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0E233C">
        <w:rPr>
          <w:rFonts w:asciiTheme="minorHAnsi" w:hAnsiTheme="minorHAnsi" w:cstheme="minorHAnsi"/>
          <w:lang w:val="en-US"/>
        </w:rPr>
        <w:t>MONEYVAL (201</w:t>
      </w:r>
      <w:r>
        <w:rPr>
          <w:rFonts w:asciiTheme="minorHAnsi" w:hAnsiTheme="minorHAnsi" w:cstheme="minorHAnsi"/>
          <w:lang w:val="en-US"/>
        </w:rPr>
        <w:t>1b</w:t>
      </w:r>
      <w:r w:rsidRPr="000E233C">
        <w:rPr>
          <w:rFonts w:asciiTheme="minorHAnsi" w:hAnsiTheme="minorHAnsi" w:cstheme="minorHAnsi"/>
          <w:lang w:val="en-US"/>
        </w:rPr>
        <w:t>), p. 59</w:t>
      </w:r>
      <w:r>
        <w:rPr>
          <w:rFonts w:asciiTheme="minorHAnsi" w:hAnsiTheme="minorHAnsi" w:cstheme="minorHAnsi"/>
          <w:lang w:val="en-US"/>
        </w:rPr>
        <w:t>.</w:t>
      </w:r>
    </w:p>
  </w:footnote>
  <w:footnote w:id="72">
    <w:p w14:paraId="7D7B1307" w14:textId="4595BB43"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i/>
          <w:lang w:val="en-US"/>
        </w:rPr>
        <w:t xml:space="preserve"> </w:t>
      </w:r>
      <w:r w:rsidRPr="003E5910">
        <w:rPr>
          <w:rFonts w:asciiTheme="minorHAnsi" w:hAnsiTheme="minorHAnsi" w:cstheme="minorHAnsi"/>
          <w:lang w:val="en-US"/>
        </w:rPr>
        <w:t>Ibid</w:t>
      </w:r>
      <w:r w:rsidRPr="000D697E">
        <w:rPr>
          <w:rFonts w:asciiTheme="minorHAnsi" w:hAnsiTheme="minorHAnsi" w:cstheme="minorHAnsi"/>
          <w:lang w:val="en-US"/>
        </w:rPr>
        <w:t>.,</w:t>
      </w:r>
      <w:r w:rsidRPr="000E233C">
        <w:rPr>
          <w:rFonts w:asciiTheme="minorHAnsi" w:hAnsiTheme="minorHAnsi" w:cstheme="minorHAnsi"/>
          <w:lang w:val="en-US"/>
        </w:rPr>
        <w:t xml:space="preserve"> p. 60</w:t>
      </w:r>
      <w:r>
        <w:rPr>
          <w:rFonts w:asciiTheme="minorHAnsi" w:hAnsiTheme="minorHAnsi" w:cstheme="minorHAnsi"/>
          <w:lang w:val="en-US"/>
        </w:rPr>
        <w:t>.</w:t>
      </w:r>
    </w:p>
  </w:footnote>
  <w:footnote w:id="73">
    <w:p w14:paraId="7595DE3D" w14:textId="73F3F8B2"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w:t>
      </w:r>
      <w:r>
        <w:rPr>
          <w:rFonts w:asciiTheme="minorHAnsi" w:hAnsiTheme="minorHAnsi" w:cstheme="minorHAnsi"/>
          <w:lang w:val="en-US"/>
        </w:rPr>
        <w:t>Ibid.</w:t>
      </w:r>
      <w:r w:rsidRPr="000E233C">
        <w:rPr>
          <w:rFonts w:asciiTheme="minorHAnsi" w:hAnsiTheme="minorHAnsi" w:cstheme="minorHAnsi"/>
          <w:lang w:val="en-US"/>
        </w:rPr>
        <w:t>, p. 61</w:t>
      </w:r>
      <w:r>
        <w:rPr>
          <w:rFonts w:asciiTheme="minorHAnsi" w:hAnsiTheme="minorHAnsi" w:cstheme="minorHAnsi"/>
          <w:lang w:val="en-US"/>
        </w:rPr>
        <w:t>.</w:t>
      </w:r>
    </w:p>
  </w:footnote>
  <w:footnote w:id="74">
    <w:p w14:paraId="117BBD2E" w14:textId="72D6E80B"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0D697E">
        <w:rPr>
          <w:rFonts w:asciiTheme="minorHAnsi" w:hAnsiTheme="minorHAnsi" w:cstheme="minorHAnsi"/>
          <w:lang w:val="en-US"/>
        </w:rPr>
        <w:t>.,</w:t>
      </w:r>
      <w:r w:rsidRPr="000E233C">
        <w:rPr>
          <w:rFonts w:asciiTheme="minorHAnsi" w:hAnsiTheme="minorHAnsi" w:cstheme="minorHAnsi"/>
          <w:lang w:val="en-US"/>
        </w:rPr>
        <w:t xml:space="preserve"> p. 62</w:t>
      </w:r>
      <w:r>
        <w:rPr>
          <w:rFonts w:asciiTheme="minorHAnsi" w:hAnsiTheme="minorHAnsi" w:cstheme="minorHAnsi"/>
          <w:lang w:val="en-US"/>
        </w:rPr>
        <w:t>.</w:t>
      </w:r>
    </w:p>
  </w:footnote>
  <w:footnote w:id="75">
    <w:p w14:paraId="53153A4B" w14:textId="0D270600"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FIU Slovakia (2010), p.</w:t>
      </w:r>
      <w:r>
        <w:rPr>
          <w:rFonts w:asciiTheme="minorHAnsi" w:hAnsiTheme="minorHAnsi" w:cstheme="minorHAnsi"/>
          <w:lang w:val="en-US"/>
        </w:rPr>
        <w:t xml:space="preserve"> </w:t>
      </w:r>
      <w:r w:rsidRPr="000E233C">
        <w:rPr>
          <w:rFonts w:asciiTheme="minorHAnsi" w:hAnsiTheme="minorHAnsi" w:cstheme="minorHAnsi"/>
          <w:lang w:val="en-US"/>
        </w:rPr>
        <w:t>14.</w:t>
      </w:r>
    </w:p>
  </w:footnote>
  <w:footnote w:id="76">
    <w:p w14:paraId="706A2C01" w14:textId="02F1AE95"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w:t>
      </w:r>
      <w:r>
        <w:rPr>
          <w:rFonts w:asciiTheme="minorHAnsi" w:hAnsiTheme="minorHAnsi" w:cstheme="minorHAnsi"/>
          <w:lang w:val="en-US"/>
        </w:rPr>
        <w:t>Ibid.,</w:t>
      </w:r>
      <w:r w:rsidRPr="000E233C">
        <w:rPr>
          <w:rFonts w:asciiTheme="minorHAnsi" w:hAnsiTheme="minorHAnsi" w:cstheme="minorHAnsi"/>
          <w:lang w:val="en-US"/>
        </w:rPr>
        <w:t xml:space="preserve"> p. 13.</w:t>
      </w:r>
    </w:p>
  </w:footnote>
  <w:footnote w:id="77">
    <w:p w14:paraId="34271D9F" w14:textId="0CC348FF"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MONEYVAL (2011</w:t>
      </w:r>
      <w:r>
        <w:rPr>
          <w:rFonts w:asciiTheme="minorHAnsi" w:hAnsiTheme="minorHAnsi" w:cstheme="minorHAnsi"/>
          <w:lang w:val="en-US"/>
        </w:rPr>
        <w:t>a</w:t>
      </w:r>
      <w:r w:rsidRPr="000E233C">
        <w:rPr>
          <w:rFonts w:asciiTheme="minorHAnsi" w:hAnsiTheme="minorHAnsi" w:cstheme="minorHAnsi"/>
          <w:lang w:val="en-US"/>
        </w:rPr>
        <w:t>), p. 68.</w:t>
      </w:r>
    </w:p>
  </w:footnote>
  <w:footnote w:id="78">
    <w:p w14:paraId="5BA82EF5" w14:textId="7FB5AE93"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Pr>
          <w:rFonts w:asciiTheme="minorHAnsi" w:hAnsiTheme="minorHAnsi" w:cstheme="minorHAnsi"/>
          <w:lang w:val="en-US"/>
        </w:rPr>
        <w:t xml:space="preserve"> </w:t>
      </w:r>
      <w:r w:rsidRPr="003E5910">
        <w:rPr>
          <w:rFonts w:asciiTheme="minorHAnsi" w:hAnsiTheme="minorHAnsi" w:cstheme="minorHAnsi"/>
          <w:lang w:val="en-US"/>
        </w:rPr>
        <w:t>Ibid</w:t>
      </w:r>
      <w:r w:rsidRPr="003B3B34">
        <w:rPr>
          <w:rFonts w:asciiTheme="minorHAnsi" w:hAnsiTheme="minorHAnsi" w:cstheme="minorHAnsi"/>
          <w:lang w:val="en-US"/>
        </w:rPr>
        <w:t>.,</w:t>
      </w:r>
      <w:r w:rsidRPr="000E233C">
        <w:rPr>
          <w:rFonts w:asciiTheme="minorHAnsi" w:hAnsiTheme="minorHAnsi" w:cstheme="minorHAnsi"/>
          <w:lang w:val="en-US"/>
        </w:rPr>
        <w:t xml:space="preserve"> p. 74</w:t>
      </w:r>
      <w:r>
        <w:rPr>
          <w:rFonts w:asciiTheme="minorHAnsi" w:hAnsiTheme="minorHAnsi" w:cstheme="minorHAnsi"/>
          <w:lang w:val="en-US"/>
        </w:rPr>
        <w:t>.</w:t>
      </w:r>
      <w:r w:rsidRPr="000E233C">
        <w:rPr>
          <w:rFonts w:asciiTheme="minorHAnsi" w:hAnsiTheme="minorHAnsi" w:cstheme="minorHAnsi"/>
          <w:lang w:val="en-US"/>
        </w:rPr>
        <w:t xml:space="preserve"> </w:t>
      </w:r>
    </w:p>
  </w:footnote>
  <w:footnote w:id="79">
    <w:p w14:paraId="5E1E50CF" w14:textId="21A142BC"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As the picture ran the risk </w:t>
      </w:r>
      <w:r>
        <w:rPr>
          <w:rFonts w:asciiTheme="minorHAnsi" w:hAnsiTheme="minorHAnsi" w:cstheme="minorHAnsi"/>
          <w:lang w:val="en-US"/>
        </w:rPr>
        <w:t>of</w:t>
      </w:r>
      <w:r w:rsidRPr="000E233C">
        <w:rPr>
          <w:rFonts w:asciiTheme="minorHAnsi" w:hAnsiTheme="minorHAnsi" w:cstheme="minorHAnsi"/>
          <w:lang w:val="en-US"/>
        </w:rPr>
        <w:t xml:space="preserve"> be</w:t>
      </w:r>
      <w:r>
        <w:rPr>
          <w:rFonts w:asciiTheme="minorHAnsi" w:hAnsiTheme="minorHAnsi" w:cstheme="minorHAnsi"/>
          <w:lang w:val="en-US"/>
        </w:rPr>
        <w:t>ing</w:t>
      </w:r>
      <w:r w:rsidRPr="000E233C">
        <w:rPr>
          <w:rFonts w:asciiTheme="minorHAnsi" w:hAnsiTheme="minorHAnsi" w:cstheme="minorHAnsi"/>
          <w:lang w:val="en-US"/>
        </w:rPr>
        <w:t xml:space="preserve"> overcrowded</w:t>
      </w:r>
      <w:r>
        <w:rPr>
          <w:rFonts w:asciiTheme="minorHAnsi" w:hAnsiTheme="minorHAnsi" w:cstheme="minorHAnsi"/>
          <w:lang w:val="en-US"/>
        </w:rPr>
        <w:t>,</w:t>
      </w:r>
      <w:r w:rsidRPr="000E233C">
        <w:rPr>
          <w:rFonts w:asciiTheme="minorHAnsi" w:hAnsiTheme="minorHAnsi" w:cstheme="minorHAnsi"/>
          <w:lang w:val="en-US"/>
        </w:rPr>
        <w:t xml:space="preserve"> not all names of ‘end users’ have been included in Figure </w:t>
      </w:r>
      <w:r>
        <w:rPr>
          <w:rFonts w:asciiTheme="minorHAnsi" w:hAnsiTheme="minorHAnsi" w:cstheme="minorHAnsi"/>
          <w:lang w:val="en-US"/>
        </w:rPr>
        <w:t>8.31</w:t>
      </w:r>
      <w:r w:rsidR="005F0B6F">
        <w:rPr>
          <w:rFonts w:asciiTheme="minorHAnsi" w:hAnsiTheme="minorHAnsi" w:cstheme="minorHAnsi"/>
          <w:lang w:val="en-US"/>
        </w:rPr>
        <w:t>.</w:t>
      </w:r>
    </w:p>
  </w:footnote>
  <w:footnote w:id="80">
    <w:p w14:paraId="4C0EECF1" w14:textId="3051C35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Department for Environment, Food and Rural Affairs. See for the announcement that CPS would take over the prosecution functions of DEFRA</w:t>
      </w:r>
      <w:r>
        <w:rPr>
          <w:rFonts w:asciiTheme="minorHAnsi" w:hAnsiTheme="minorHAnsi" w:cstheme="minorHAnsi"/>
          <w:lang w:val="en-US"/>
        </w:rPr>
        <w:t>.</w:t>
      </w:r>
      <w:r w:rsidRPr="000E233C">
        <w:rPr>
          <w:rFonts w:asciiTheme="minorHAnsi" w:hAnsiTheme="minorHAnsi" w:cstheme="minorHAnsi"/>
          <w:lang w:val="en-US"/>
        </w:rPr>
        <w:t xml:space="preserve"> Available at: </w:t>
      </w:r>
    </w:p>
    <w:p w14:paraId="73A4A7EC" w14:textId="77777777" w:rsidR="00972546" w:rsidRPr="000E233C" w:rsidRDefault="00972546" w:rsidP="00E76739">
      <w:pPr>
        <w:pStyle w:val="Footnote"/>
        <w:rPr>
          <w:rFonts w:asciiTheme="minorHAnsi" w:hAnsiTheme="minorHAnsi" w:cstheme="minorHAnsi"/>
          <w:lang w:val="en-US"/>
        </w:rPr>
      </w:pPr>
      <w:r w:rsidRPr="000E233C">
        <w:rPr>
          <w:rFonts w:asciiTheme="minorHAnsi" w:hAnsiTheme="minorHAnsi" w:cstheme="minorHAnsi"/>
          <w:lang w:val="en-US"/>
        </w:rPr>
        <w:t>http://www.publications.parliament.uk/pa/cm201011/cmhansrd/cm110712/wmstext/110712m0001.htm.</w:t>
      </w:r>
    </w:p>
  </w:footnote>
  <w:footnote w:id="81">
    <w:p w14:paraId="0ECB08CA" w14:textId="4BBFB067" w:rsidR="00972546" w:rsidRPr="000E233C" w:rsidRDefault="00972546" w:rsidP="00E76739">
      <w:pPr>
        <w:pStyle w:val="Footnote"/>
        <w:rPr>
          <w:rFonts w:asciiTheme="minorHAnsi" w:hAnsiTheme="minorHAnsi" w:cstheme="minorHAnsi"/>
          <w:lang w:val="en-US"/>
        </w:rPr>
      </w:pPr>
      <w:r w:rsidRPr="00FA57A1">
        <w:rPr>
          <w:rStyle w:val="FootnoteReference"/>
          <w:rFonts w:asciiTheme="minorHAnsi" w:hAnsiTheme="minorHAnsi" w:cstheme="minorHAnsi"/>
        </w:rPr>
        <w:footnoteRef/>
      </w:r>
      <w:r w:rsidRPr="000E233C">
        <w:rPr>
          <w:rFonts w:asciiTheme="minorHAnsi" w:hAnsiTheme="minorHAnsi" w:cstheme="minorHAnsi"/>
          <w:lang w:val="en-US"/>
        </w:rPr>
        <w:t xml:space="preserve"> Available at: http://www.cps.gov.uk/your_cps/our_organisation/cfg/the_group/our_history.html</w:t>
      </w:r>
      <w:r>
        <w:rPr>
          <w:rFonts w:asciiTheme="minorHAnsi" w:hAnsiTheme="minorHAnsi" w:cstheme="minorHAnsi"/>
          <w:lang w:val="en-US"/>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0C2F4B"/>
    <w:multiLevelType w:val="hybridMultilevel"/>
    <w:tmpl w:val="BDEA67DC"/>
    <w:lvl w:ilvl="0" w:tplc="72906A92">
      <w:numFmt w:val="bullet"/>
      <w:lvlText w:val="-"/>
      <w:lvlJc w:val="left"/>
      <w:pPr>
        <w:ind w:left="720" w:hanging="360"/>
      </w:pPr>
      <w:rPr>
        <w:rFonts w:ascii="Tahoma" w:eastAsia="Times New Roman" w:hAnsi="Tahoma" w:cs="Tahoma" w:hint="default"/>
        <w:sz w:val="18"/>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7F3C6F02"/>
    <w:multiLevelType w:val="hybridMultilevel"/>
    <w:tmpl w:val="DCE2498C"/>
    <w:lvl w:ilvl="0" w:tplc="04130011">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13143916">
      <w:start w:val="195"/>
      <w:numFmt w:val="decimal"/>
      <w:lvlText w:val="%3"/>
      <w:lvlJc w:val="left"/>
      <w:pPr>
        <w:ind w:left="2340" w:hanging="36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num w:numId="1">
    <w:abstractNumId w:val="0"/>
  </w:num>
  <w:num w:numId="2">
    <w:abstractNumId w:val="1"/>
    <w:lvlOverride w:ilvl="0">
      <w:startOverride w:val="1"/>
    </w:lvlOverride>
    <w:lvlOverride w:ilvl="1">
      <w:startOverride w:val="1"/>
    </w:lvlOverride>
    <w:lvlOverride w:ilvl="2">
      <w:startOverride w:val="19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rginia Williams">
    <w15:presenceInfo w15:providerId="Windows Live" w15:userId="c253e0485040b4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739"/>
    <w:rsid w:val="00011D4B"/>
    <w:rsid w:val="00022FE5"/>
    <w:rsid w:val="00035234"/>
    <w:rsid w:val="00055848"/>
    <w:rsid w:val="0006291F"/>
    <w:rsid w:val="00062C4F"/>
    <w:rsid w:val="000913B1"/>
    <w:rsid w:val="000A5122"/>
    <w:rsid w:val="000B0BB9"/>
    <w:rsid w:val="000D11A8"/>
    <w:rsid w:val="000D697E"/>
    <w:rsid w:val="000E0B0B"/>
    <w:rsid w:val="000E233C"/>
    <w:rsid w:val="00102166"/>
    <w:rsid w:val="00145812"/>
    <w:rsid w:val="001C1658"/>
    <w:rsid w:val="001D0946"/>
    <w:rsid w:val="001D44F7"/>
    <w:rsid w:val="00221B8F"/>
    <w:rsid w:val="002267F0"/>
    <w:rsid w:val="00232C10"/>
    <w:rsid w:val="00234B05"/>
    <w:rsid w:val="0024077B"/>
    <w:rsid w:val="00246BD4"/>
    <w:rsid w:val="00272778"/>
    <w:rsid w:val="002A2B83"/>
    <w:rsid w:val="002C36F7"/>
    <w:rsid w:val="002D7F4D"/>
    <w:rsid w:val="002F2681"/>
    <w:rsid w:val="002F731E"/>
    <w:rsid w:val="00307B21"/>
    <w:rsid w:val="003348CB"/>
    <w:rsid w:val="0034384D"/>
    <w:rsid w:val="00346782"/>
    <w:rsid w:val="0035584D"/>
    <w:rsid w:val="00366E14"/>
    <w:rsid w:val="00370DD3"/>
    <w:rsid w:val="00377578"/>
    <w:rsid w:val="003828D1"/>
    <w:rsid w:val="003912AC"/>
    <w:rsid w:val="003B3B34"/>
    <w:rsid w:val="003B7679"/>
    <w:rsid w:val="003B7CBC"/>
    <w:rsid w:val="003D49DA"/>
    <w:rsid w:val="003E4687"/>
    <w:rsid w:val="003E5910"/>
    <w:rsid w:val="003E77D5"/>
    <w:rsid w:val="003F3019"/>
    <w:rsid w:val="004058EE"/>
    <w:rsid w:val="004166CA"/>
    <w:rsid w:val="00420F8F"/>
    <w:rsid w:val="00424AEF"/>
    <w:rsid w:val="0042678B"/>
    <w:rsid w:val="00447004"/>
    <w:rsid w:val="00457C5B"/>
    <w:rsid w:val="00475A60"/>
    <w:rsid w:val="0049102C"/>
    <w:rsid w:val="004921B6"/>
    <w:rsid w:val="004A0138"/>
    <w:rsid w:val="004A6762"/>
    <w:rsid w:val="004D5B82"/>
    <w:rsid w:val="004D672D"/>
    <w:rsid w:val="004E214D"/>
    <w:rsid w:val="005315FF"/>
    <w:rsid w:val="00535531"/>
    <w:rsid w:val="0054426C"/>
    <w:rsid w:val="00580E7F"/>
    <w:rsid w:val="005873F7"/>
    <w:rsid w:val="00592AE3"/>
    <w:rsid w:val="005A10D2"/>
    <w:rsid w:val="005B2529"/>
    <w:rsid w:val="005D1D92"/>
    <w:rsid w:val="005D2101"/>
    <w:rsid w:val="005F0B6F"/>
    <w:rsid w:val="00627CB8"/>
    <w:rsid w:val="00631F17"/>
    <w:rsid w:val="006329B8"/>
    <w:rsid w:val="0064050B"/>
    <w:rsid w:val="00662734"/>
    <w:rsid w:val="00695401"/>
    <w:rsid w:val="006C5A79"/>
    <w:rsid w:val="006D6504"/>
    <w:rsid w:val="006E6DCE"/>
    <w:rsid w:val="00701EC1"/>
    <w:rsid w:val="007111D7"/>
    <w:rsid w:val="0071196B"/>
    <w:rsid w:val="0071797A"/>
    <w:rsid w:val="00727494"/>
    <w:rsid w:val="00741BE5"/>
    <w:rsid w:val="00750B0D"/>
    <w:rsid w:val="00785E6A"/>
    <w:rsid w:val="007A4B06"/>
    <w:rsid w:val="007B0630"/>
    <w:rsid w:val="007B70D7"/>
    <w:rsid w:val="007E2D52"/>
    <w:rsid w:val="007F6757"/>
    <w:rsid w:val="0083593B"/>
    <w:rsid w:val="00836C34"/>
    <w:rsid w:val="00847034"/>
    <w:rsid w:val="008560F3"/>
    <w:rsid w:val="00875D56"/>
    <w:rsid w:val="00881FF4"/>
    <w:rsid w:val="008936A0"/>
    <w:rsid w:val="00895126"/>
    <w:rsid w:val="00897D09"/>
    <w:rsid w:val="008C4195"/>
    <w:rsid w:val="008D6F69"/>
    <w:rsid w:val="008E5149"/>
    <w:rsid w:val="008F49D6"/>
    <w:rsid w:val="008F6DAF"/>
    <w:rsid w:val="00904767"/>
    <w:rsid w:val="00927515"/>
    <w:rsid w:val="00953CC4"/>
    <w:rsid w:val="00972546"/>
    <w:rsid w:val="009A61C9"/>
    <w:rsid w:val="009B0247"/>
    <w:rsid w:val="009B7377"/>
    <w:rsid w:val="009C2885"/>
    <w:rsid w:val="009D6AA2"/>
    <w:rsid w:val="009E022A"/>
    <w:rsid w:val="009F3B79"/>
    <w:rsid w:val="00A00C80"/>
    <w:rsid w:val="00A02A1A"/>
    <w:rsid w:val="00A1059B"/>
    <w:rsid w:val="00A151A1"/>
    <w:rsid w:val="00A169AE"/>
    <w:rsid w:val="00A27C62"/>
    <w:rsid w:val="00A422EE"/>
    <w:rsid w:val="00A5608B"/>
    <w:rsid w:val="00A57564"/>
    <w:rsid w:val="00AA22B3"/>
    <w:rsid w:val="00AA26B5"/>
    <w:rsid w:val="00AA2DA9"/>
    <w:rsid w:val="00AE660F"/>
    <w:rsid w:val="00AF792D"/>
    <w:rsid w:val="00AF7B68"/>
    <w:rsid w:val="00B06A04"/>
    <w:rsid w:val="00B1184C"/>
    <w:rsid w:val="00B22A73"/>
    <w:rsid w:val="00B5194A"/>
    <w:rsid w:val="00B66B1D"/>
    <w:rsid w:val="00B87B8C"/>
    <w:rsid w:val="00B923D3"/>
    <w:rsid w:val="00BA07A1"/>
    <w:rsid w:val="00BA4271"/>
    <w:rsid w:val="00BA43F7"/>
    <w:rsid w:val="00BE2FE4"/>
    <w:rsid w:val="00C15310"/>
    <w:rsid w:val="00C2265C"/>
    <w:rsid w:val="00C36381"/>
    <w:rsid w:val="00C5094A"/>
    <w:rsid w:val="00C60D57"/>
    <w:rsid w:val="00C67BA1"/>
    <w:rsid w:val="00C821A1"/>
    <w:rsid w:val="00C9097D"/>
    <w:rsid w:val="00C94B39"/>
    <w:rsid w:val="00CA02AE"/>
    <w:rsid w:val="00CA5FB0"/>
    <w:rsid w:val="00CA7470"/>
    <w:rsid w:val="00CC0D76"/>
    <w:rsid w:val="00CD0FC7"/>
    <w:rsid w:val="00CE0C60"/>
    <w:rsid w:val="00CE1DF7"/>
    <w:rsid w:val="00CE1F1E"/>
    <w:rsid w:val="00CE667A"/>
    <w:rsid w:val="00CF700B"/>
    <w:rsid w:val="00D03139"/>
    <w:rsid w:val="00D06333"/>
    <w:rsid w:val="00D34FA3"/>
    <w:rsid w:val="00D403BE"/>
    <w:rsid w:val="00D51481"/>
    <w:rsid w:val="00D55409"/>
    <w:rsid w:val="00D80A69"/>
    <w:rsid w:val="00DA07F4"/>
    <w:rsid w:val="00DD2CF2"/>
    <w:rsid w:val="00E06F24"/>
    <w:rsid w:val="00E16580"/>
    <w:rsid w:val="00E27B45"/>
    <w:rsid w:val="00E330CB"/>
    <w:rsid w:val="00E35E07"/>
    <w:rsid w:val="00E40C44"/>
    <w:rsid w:val="00E4293E"/>
    <w:rsid w:val="00E53D61"/>
    <w:rsid w:val="00E55622"/>
    <w:rsid w:val="00E6083B"/>
    <w:rsid w:val="00E76739"/>
    <w:rsid w:val="00E84E4E"/>
    <w:rsid w:val="00EA5474"/>
    <w:rsid w:val="00EB4D9A"/>
    <w:rsid w:val="00EC2190"/>
    <w:rsid w:val="00EC529F"/>
    <w:rsid w:val="00ED330D"/>
    <w:rsid w:val="00ED5B42"/>
    <w:rsid w:val="00F0030C"/>
    <w:rsid w:val="00F06882"/>
    <w:rsid w:val="00F17AB6"/>
    <w:rsid w:val="00F23A67"/>
    <w:rsid w:val="00F263AF"/>
    <w:rsid w:val="00F42D36"/>
    <w:rsid w:val="00F43279"/>
    <w:rsid w:val="00F520E3"/>
    <w:rsid w:val="00F770AA"/>
    <w:rsid w:val="00F83989"/>
    <w:rsid w:val="00FA5AA0"/>
    <w:rsid w:val="00FA5C54"/>
    <w:rsid w:val="00FB3703"/>
    <w:rsid w:val="00FB598A"/>
    <w:rsid w:val="00FC4287"/>
    <w:rsid w:val="00FE7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FA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767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739"/>
    <w:rPr>
      <w:sz w:val="20"/>
      <w:szCs w:val="20"/>
    </w:rPr>
  </w:style>
  <w:style w:type="paragraph" w:styleId="NormalWeb">
    <w:name w:val="Normal (Web)"/>
    <w:basedOn w:val="Normal"/>
    <w:uiPriority w:val="99"/>
    <w:semiHidden/>
    <w:unhideWhenUsed/>
    <w:rsid w:val="00E76739"/>
    <w:rPr>
      <w:rFonts w:ascii="Times New Roman" w:hAnsi="Times New Roman" w:cs="Times New Roman"/>
      <w:sz w:val="24"/>
      <w:szCs w:val="24"/>
    </w:rPr>
  </w:style>
  <w:style w:type="character" w:styleId="FootnoteReference">
    <w:name w:val="footnote reference"/>
    <w:aliases w:val="fr"/>
    <w:uiPriority w:val="99"/>
    <w:qFormat/>
    <w:rsid w:val="00E76739"/>
    <w:rPr>
      <w:vertAlign w:val="superscript"/>
    </w:rPr>
  </w:style>
  <w:style w:type="character" w:styleId="Hyperlink">
    <w:name w:val="Hyperlink"/>
    <w:uiPriority w:val="99"/>
    <w:rsid w:val="00E76739"/>
    <w:rPr>
      <w:rFonts w:cs="Times New Roman"/>
      <w:color w:val="0000FF"/>
      <w:u w:val="single"/>
    </w:rPr>
  </w:style>
  <w:style w:type="paragraph" w:customStyle="1" w:styleId="Footnote">
    <w:name w:val="Footnote"/>
    <w:basedOn w:val="FootnoteText"/>
    <w:link w:val="FootnoteChar"/>
    <w:qFormat/>
    <w:rsid w:val="00E76739"/>
    <w:pPr>
      <w:keepLines/>
      <w:jc w:val="both"/>
    </w:pPr>
    <w:rPr>
      <w:rFonts w:ascii="Calibri" w:eastAsia="Calibri" w:hAnsi="Calibri" w:cs="Times New Roman"/>
      <w:sz w:val="18"/>
      <w:szCs w:val="18"/>
      <w:lang w:eastAsia="zh-CN"/>
    </w:rPr>
  </w:style>
  <w:style w:type="character" w:customStyle="1" w:styleId="FootnoteChar">
    <w:name w:val="Footnote Char"/>
    <w:link w:val="Footnote"/>
    <w:rsid w:val="00E76739"/>
    <w:rPr>
      <w:rFonts w:ascii="Calibri" w:eastAsia="Calibri" w:hAnsi="Calibri" w:cs="Times New Roman"/>
      <w:sz w:val="18"/>
      <w:szCs w:val="18"/>
      <w:lang w:eastAsia="zh-CN"/>
    </w:rPr>
  </w:style>
  <w:style w:type="character" w:customStyle="1" w:styleId="hps">
    <w:name w:val="hps"/>
    <w:rsid w:val="00E76739"/>
  </w:style>
  <w:style w:type="paragraph" w:styleId="BalloonText">
    <w:name w:val="Balloon Text"/>
    <w:basedOn w:val="Normal"/>
    <w:link w:val="BalloonTextChar"/>
    <w:uiPriority w:val="99"/>
    <w:semiHidden/>
    <w:unhideWhenUsed/>
    <w:rsid w:val="00E76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739"/>
    <w:rPr>
      <w:rFonts w:ascii="Tahoma" w:hAnsi="Tahoma" w:cs="Tahoma"/>
      <w:sz w:val="16"/>
      <w:szCs w:val="16"/>
    </w:rPr>
  </w:style>
  <w:style w:type="character" w:styleId="CommentReference">
    <w:name w:val="annotation reference"/>
    <w:basedOn w:val="DefaultParagraphFont"/>
    <w:uiPriority w:val="99"/>
    <w:semiHidden/>
    <w:unhideWhenUsed/>
    <w:rsid w:val="00377578"/>
    <w:rPr>
      <w:sz w:val="16"/>
      <w:szCs w:val="16"/>
    </w:rPr>
  </w:style>
  <w:style w:type="paragraph" w:styleId="CommentText">
    <w:name w:val="annotation text"/>
    <w:basedOn w:val="Normal"/>
    <w:link w:val="CommentTextChar"/>
    <w:uiPriority w:val="99"/>
    <w:semiHidden/>
    <w:unhideWhenUsed/>
    <w:rsid w:val="00377578"/>
    <w:pPr>
      <w:spacing w:line="240" w:lineRule="auto"/>
    </w:pPr>
    <w:rPr>
      <w:sz w:val="20"/>
      <w:szCs w:val="20"/>
    </w:rPr>
  </w:style>
  <w:style w:type="character" w:customStyle="1" w:styleId="CommentTextChar">
    <w:name w:val="Comment Text Char"/>
    <w:basedOn w:val="DefaultParagraphFont"/>
    <w:link w:val="CommentText"/>
    <w:uiPriority w:val="99"/>
    <w:semiHidden/>
    <w:rsid w:val="00377578"/>
    <w:rPr>
      <w:sz w:val="20"/>
      <w:szCs w:val="20"/>
    </w:rPr>
  </w:style>
  <w:style w:type="paragraph" w:styleId="CommentSubject">
    <w:name w:val="annotation subject"/>
    <w:basedOn w:val="CommentText"/>
    <w:next w:val="CommentText"/>
    <w:link w:val="CommentSubjectChar"/>
    <w:uiPriority w:val="99"/>
    <w:semiHidden/>
    <w:unhideWhenUsed/>
    <w:rsid w:val="00377578"/>
    <w:rPr>
      <w:b/>
      <w:bCs/>
    </w:rPr>
  </w:style>
  <w:style w:type="character" w:customStyle="1" w:styleId="CommentSubjectChar">
    <w:name w:val="Comment Subject Char"/>
    <w:basedOn w:val="CommentTextChar"/>
    <w:link w:val="CommentSubject"/>
    <w:uiPriority w:val="99"/>
    <w:semiHidden/>
    <w:rsid w:val="00377578"/>
    <w:rPr>
      <w:b/>
      <w:bCs/>
      <w:sz w:val="20"/>
      <w:szCs w:val="20"/>
    </w:rPr>
  </w:style>
  <w:style w:type="paragraph" w:styleId="Header">
    <w:name w:val="header"/>
    <w:basedOn w:val="Normal"/>
    <w:link w:val="HeaderChar"/>
    <w:uiPriority w:val="99"/>
    <w:unhideWhenUsed/>
    <w:rsid w:val="00627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CB8"/>
  </w:style>
  <w:style w:type="paragraph" w:styleId="Footer">
    <w:name w:val="footer"/>
    <w:basedOn w:val="Normal"/>
    <w:link w:val="FooterChar"/>
    <w:uiPriority w:val="99"/>
    <w:unhideWhenUsed/>
    <w:rsid w:val="00627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C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767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739"/>
    <w:rPr>
      <w:sz w:val="20"/>
      <w:szCs w:val="20"/>
    </w:rPr>
  </w:style>
  <w:style w:type="paragraph" w:styleId="NormalWeb">
    <w:name w:val="Normal (Web)"/>
    <w:basedOn w:val="Normal"/>
    <w:uiPriority w:val="99"/>
    <w:semiHidden/>
    <w:unhideWhenUsed/>
    <w:rsid w:val="00E76739"/>
    <w:rPr>
      <w:rFonts w:ascii="Times New Roman" w:hAnsi="Times New Roman" w:cs="Times New Roman"/>
      <w:sz w:val="24"/>
      <w:szCs w:val="24"/>
    </w:rPr>
  </w:style>
  <w:style w:type="character" w:styleId="FootnoteReference">
    <w:name w:val="footnote reference"/>
    <w:aliases w:val="fr"/>
    <w:uiPriority w:val="99"/>
    <w:qFormat/>
    <w:rsid w:val="00E76739"/>
    <w:rPr>
      <w:vertAlign w:val="superscript"/>
    </w:rPr>
  </w:style>
  <w:style w:type="character" w:styleId="Hyperlink">
    <w:name w:val="Hyperlink"/>
    <w:uiPriority w:val="99"/>
    <w:rsid w:val="00E76739"/>
    <w:rPr>
      <w:rFonts w:cs="Times New Roman"/>
      <w:color w:val="0000FF"/>
      <w:u w:val="single"/>
    </w:rPr>
  </w:style>
  <w:style w:type="paragraph" w:customStyle="1" w:styleId="Footnote">
    <w:name w:val="Footnote"/>
    <w:basedOn w:val="FootnoteText"/>
    <w:link w:val="FootnoteChar"/>
    <w:qFormat/>
    <w:rsid w:val="00E76739"/>
    <w:pPr>
      <w:keepLines/>
      <w:jc w:val="both"/>
    </w:pPr>
    <w:rPr>
      <w:rFonts w:ascii="Calibri" w:eastAsia="Calibri" w:hAnsi="Calibri" w:cs="Times New Roman"/>
      <w:sz w:val="18"/>
      <w:szCs w:val="18"/>
      <w:lang w:eastAsia="zh-CN"/>
    </w:rPr>
  </w:style>
  <w:style w:type="character" w:customStyle="1" w:styleId="FootnoteChar">
    <w:name w:val="Footnote Char"/>
    <w:link w:val="Footnote"/>
    <w:rsid w:val="00E76739"/>
    <w:rPr>
      <w:rFonts w:ascii="Calibri" w:eastAsia="Calibri" w:hAnsi="Calibri" w:cs="Times New Roman"/>
      <w:sz w:val="18"/>
      <w:szCs w:val="18"/>
      <w:lang w:eastAsia="zh-CN"/>
    </w:rPr>
  </w:style>
  <w:style w:type="character" w:customStyle="1" w:styleId="hps">
    <w:name w:val="hps"/>
    <w:rsid w:val="00E76739"/>
  </w:style>
  <w:style w:type="paragraph" w:styleId="BalloonText">
    <w:name w:val="Balloon Text"/>
    <w:basedOn w:val="Normal"/>
    <w:link w:val="BalloonTextChar"/>
    <w:uiPriority w:val="99"/>
    <w:semiHidden/>
    <w:unhideWhenUsed/>
    <w:rsid w:val="00E76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739"/>
    <w:rPr>
      <w:rFonts w:ascii="Tahoma" w:hAnsi="Tahoma" w:cs="Tahoma"/>
      <w:sz w:val="16"/>
      <w:szCs w:val="16"/>
    </w:rPr>
  </w:style>
  <w:style w:type="character" w:styleId="CommentReference">
    <w:name w:val="annotation reference"/>
    <w:basedOn w:val="DefaultParagraphFont"/>
    <w:uiPriority w:val="99"/>
    <w:semiHidden/>
    <w:unhideWhenUsed/>
    <w:rsid w:val="00377578"/>
    <w:rPr>
      <w:sz w:val="16"/>
      <w:szCs w:val="16"/>
    </w:rPr>
  </w:style>
  <w:style w:type="paragraph" w:styleId="CommentText">
    <w:name w:val="annotation text"/>
    <w:basedOn w:val="Normal"/>
    <w:link w:val="CommentTextChar"/>
    <w:uiPriority w:val="99"/>
    <w:semiHidden/>
    <w:unhideWhenUsed/>
    <w:rsid w:val="00377578"/>
    <w:pPr>
      <w:spacing w:line="240" w:lineRule="auto"/>
    </w:pPr>
    <w:rPr>
      <w:sz w:val="20"/>
      <w:szCs w:val="20"/>
    </w:rPr>
  </w:style>
  <w:style w:type="character" w:customStyle="1" w:styleId="CommentTextChar">
    <w:name w:val="Comment Text Char"/>
    <w:basedOn w:val="DefaultParagraphFont"/>
    <w:link w:val="CommentText"/>
    <w:uiPriority w:val="99"/>
    <w:semiHidden/>
    <w:rsid w:val="00377578"/>
    <w:rPr>
      <w:sz w:val="20"/>
      <w:szCs w:val="20"/>
    </w:rPr>
  </w:style>
  <w:style w:type="paragraph" w:styleId="CommentSubject">
    <w:name w:val="annotation subject"/>
    <w:basedOn w:val="CommentText"/>
    <w:next w:val="CommentText"/>
    <w:link w:val="CommentSubjectChar"/>
    <w:uiPriority w:val="99"/>
    <w:semiHidden/>
    <w:unhideWhenUsed/>
    <w:rsid w:val="00377578"/>
    <w:rPr>
      <w:b/>
      <w:bCs/>
    </w:rPr>
  </w:style>
  <w:style w:type="character" w:customStyle="1" w:styleId="CommentSubjectChar">
    <w:name w:val="Comment Subject Char"/>
    <w:basedOn w:val="CommentTextChar"/>
    <w:link w:val="CommentSubject"/>
    <w:uiPriority w:val="99"/>
    <w:semiHidden/>
    <w:rsid w:val="00377578"/>
    <w:rPr>
      <w:b/>
      <w:bCs/>
      <w:sz w:val="20"/>
      <w:szCs w:val="20"/>
    </w:rPr>
  </w:style>
  <w:style w:type="paragraph" w:styleId="Header">
    <w:name w:val="header"/>
    <w:basedOn w:val="Normal"/>
    <w:link w:val="HeaderChar"/>
    <w:uiPriority w:val="99"/>
    <w:unhideWhenUsed/>
    <w:rsid w:val="00627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CB8"/>
  </w:style>
  <w:style w:type="paragraph" w:styleId="Footer">
    <w:name w:val="footer"/>
    <w:basedOn w:val="Normal"/>
    <w:link w:val="FooterChar"/>
    <w:uiPriority w:val="99"/>
    <w:unhideWhenUsed/>
    <w:rsid w:val="00627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eg"/><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11/relationships/people" Target="people.xml"/><Relationship Id="rId34" Type="http://schemas.microsoft.com/office/2011/relationships/commentsExtended" Target="commentsExtended.xml"/><Relationship Id="rId10" Type="http://schemas.openxmlformats.org/officeDocument/2006/relationships/comments" Target="comments.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euro-justice.com/member_states/ireland/country_report/443/" TargetMode="External"/><Relationship Id="rId2" Type="http://schemas.openxmlformats.org/officeDocument/2006/relationships/hyperlink" Target="http://www.mf.gov.pl/en/ministry-of-finance/aml-ctf/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7F903-42DE-1847-9474-2A663344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15142</Words>
  <Characters>86316</Characters>
  <Application>Microsoft Macintosh Word</Application>
  <DocSecurity>0</DocSecurity>
  <Lines>719</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user</Company>
  <LinksUpToDate>false</LinksUpToDate>
  <CharactersWithSpaces>101256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IDeleanu</dc:creator>
  <cp:lastModifiedBy>Jane Bayliss</cp:lastModifiedBy>
  <cp:revision>2</cp:revision>
  <dcterms:created xsi:type="dcterms:W3CDTF">2013-12-02T11:40:00Z</dcterms:created>
  <dcterms:modified xsi:type="dcterms:W3CDTF">2013-12-02T11:40:00Z</dcterms:modified>
</cp:coreProperties>
</file>