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83D5E" w14:textId="77777777" w:rsidR="000B3CB7" w:rsidRPr="00A751C7" w:rsidRDefault="000B3CB7" w:rsidP="000B3CB7">
      <w:pPr>
        <w:pStyle w:val="NormalWeb"/>
        <w:spacing w:line="480" w:lineRule="auto"/>
        <w:rPr>
          <w:b/>
          <w:bCs/>
        </w:rPr>
      </w:pPr>
      <w:r w:rsidRPr="00A751C7">
        <w:rPr>
          <w:b/>
          <w:bCs/>
        </w:rPr>
        <w:t>Table 1: Key events and reforms across Conservative and Labour governments</w:t>
      </w:r>
    </w:p>
    <w:tbl>
      <w:tblPr>
        <w:tblStyle w:val="TableGrid"/>
        <w:tblW w:w="0" w:type="auto"/>
        <w:tblLook w:val="04A0" w:firstRow="1" w:lastRow="0" w:firstColumn="1" w:lastColumn="0" w:noHBand="0" w:noVBand="1"/>
      </w:tblPr>
      <w:tblGrid>
        <w:gridCol w:w="1696"/>
        <w:gridCol w:w="2410"/>
        <w:gridCol w:w="4910"/>
      </w:tblGrid>
      <w:tr w:rsidR="000B3CB7" w:rsidRPr="006C1460" w14:paraId="6ADC3D90" w14:textId="77777777" w:rsidTr="00C264D2">
        <w:tc>
          <w:tcPr>
            <w:tcW w:w="1696" w:type="dxa"/>
          </w:tcPr>
          <w:p w14:paraId="460737B5" w14:textId="77777777" w:rsidR="000B3CB7" w:rsidRPr="006C1460" w:rsidRDefault="000B3CB7" w:rsidP="00C264D2">
            <w:pPr>
              <w:pStyle w:val="NormalWeb"/>
              <w:spacing w:line="480" w:lineRule="auto"/>
              <w:rPr>
                <w:b/>
                <w:bCs/>
              </w:rPr>
            </w:pPr>
            <w:r w:rsidRPr="006C1460">
              <w:rPr>
                <w:b/>
                <w:bCs/>
              </w:rPr>
              <w:t>Year</w:t>
            </w:r>
          </w:p>
        </w:tc>
        <w:tc>
          <w:tcPr>
            <w:tcW w:w="2410" w:type="dxa"/>
          </w:tcPr>
          <w:p w14:paraId="1DF0FEA3" w14:textId="77777777" w:rsidR="000B3CB7" w:rsidRPr="006C1460" w:rsidRDefault="000B3CB7" w:rsidP="00C264D2">
            <w:pPr>
              <w:pStyle w:val="NormalWeb"/>
              <w:spacing w:line="480" w:lineRule="auto"/>
              <w:rPr>
                <w:b/>
                <w:bCs/>
              </w:rPr>
            </w:pPr>
            <w:r w:rsidRPr="006C1460">
              <w:rPr>
                <w:b/>
                <w:bCs/>
              </w:rPr>
              <w:t>Programme or reform</w:t>
            </w:r>
          </w:p>
        </w:tc>
        <w:tc>
          <w:tcPr>
            <w:tcW w:w="4910" w:type="dxa"/>
          </w:tcPr>
          <w:p w14:paraId="41656B90" w14:textId="77777777" w:rsidR="000B3CB7" w:rsidRPr="006C1460" w:rsidRDefault="000B3CB7" w:rsidP="00C264D2">
            <w:pPr>
              <w:pStyle w:val="NormalWeb"/>
              <w:spacing w:line="480" w:lineRule="auto"/>
              <w:rPr>
                <w:b/>
                <w:bCs/>
              </w:rPr>
            </w:pPr>
            <w:r w:rsidRPr="006C1460">
              <w:rPr>
                <w:b/>
                <w:bCs/>
              </w:rPr>
              <w:t>Details</w:t>
            </w:r>
          </w:p>
        </w:tc>
      </w:tr>
      <w:tr w:rsidR="000B3CB7" w:rsidRPr="006C1460" w14:paraId="5B77D391" w14:textId="77777777" w:rsidTr="00C264D2">
        <w:tc>
          <w:tcPr>
            <w:tcW w:w="1696" w:type="dxa"/>
          </w:tcPr>
          <w:p w14:paraId="1E32BDBE" w14:textId="77777777" w:rsidR="000B3CB7" w:rsidRPr="006C1460" w:rsidRDefault="000B3CB7" w:rsidP="00C264D2">
            <w:pPr>
              <w:pStyle w:val="NormalWeb"/>
              <w:spacing w:line="480" w:lineRule="auto"/>
            </w:pPr>
            <w:r w:rsidRPr="006C1460">
              <w:t>1979</w:t>
            </w:r>
          </w:p>
        </w:tc>
        <w:tc>
          <w:tcPr>
            <w:tcW w:w="2410" w:type="dxa"/>
          </w:tcPr>
          <w:p w14:paraId="1BA5E264" w14:textId="77777777" w:rsidR="000B3CB7" w:rsidRPr="006C1460" w:rsidRDefault="000B3CB7" w:rsidP="00C264D2">
            <w:pPr>
              <w:pStyle w:val="NormalWeb"/>
              <w:spacing w:line="480" w:lineRule="auto"/>
            </w:pPr>
            <w:r>
              <w:t>The Efficiency Unit</w:t>
            </w:r>
          </w:p>
        </w:tc>
        <w:tc>
          <w:tcPr>
            <w:tcW w:w="4910" w:type="dxa"/>
          </w:tcPr>
          <w:p w14:paraId="45EACAEE" w14:textId="77777777" w:rsidR="000B3CB7" w:rsidRPr="006C1460" w:rsidRDefault="000B3CB7" w:rsidP="00C264D2">
            <w:pPr>
              <w:pStyle w:val="NormalWeb"/>
              <w:spacing w:line="480" w:lineRule="auto"/>
            </w:pPr>
            <w:r>
              <w:t xml:space="preserve">Under the Chief Executive of Marks and Spencer, Derek Rayner, the Efficiency Unit scrutinized government departments for efficiencies, including streamlining procedures and cutting staff numbers. </w:t>
            </w:r>
          </w:p>
        </w:tc>
      </w:tr>
      <w:tr w:rsidR="000B3CB7" w:rsidRPr="006C1460" w14:paraId="39EDFC50" w14:textId="77777777" w:rsidTr="00C264D2">
        <w:tc>
          <w:tcPr>
            <w:tcW w:w="1696" w:type="dxa"/>
          </w:tcPr>
          <w:p w14:paraId="1EFC49FA" w14:textId="77777777" w:rsidR="000B3CB7" w:rsidRPr="006C1460" w:rsidRDefault="000B3CB7" w:rsidP="00C264D2">
            <w:pPr>
              <w:pStyle w:val="NormalWeb"/>
              <w:spacing w:line="480" w:lineRule="auto"/>
            </w:pPr>
            <w:r>
              <w:t>1982</w:t>
            </w:r>
          </w:p>
        </w:tc>
        <w:tc>
          <w:tcPr>
            <w:tcW w:w="2410" w:type="dxa"/>
          </w:tcPr>
          <w:p w14:paraId="4FAECFAA" w14:textId="77777777" w:rsidR="000B3CB7" w:rsidRDefault="000B3CB7" w:rsidP="00C264D2">
            <w:pPr>
              <w:pStyle w:val="NormalWeb"/>
              <w:spacing w:line="480" w:lineRule="auto"/>
            </w:pPr>
            <w:r>
              <w:t>Financial Management Initiative</w:t>
            </w:r>
          </w:p>
        </w:tc>
        <w:tc>
          <w:tcPr>
            <w:tcW w:w="4910" w:type="dxa"/>
          </w:tcPr>
          <w:p w14:paraId="0061906B" w14:textId="77777777" w:rsidR="000B3CB7" w:rsidRPr="006C1460" w:rsidRDefault="000B3CB7" w:rsidP="00C264D2">
            <w:pPr>
              <w:pStyle w:val="NormalWeb"/>
              <w:spacing w:line="480" w:lineRule="auto"/>
            </w:pPr>
            <w:r>
              <w:t>This Treasury-led initiative was intended to bolster and decentralize managerial accountability, delegate budgeting responsibility downwards and incentivize the improvement of financial management practices through performance measurement.</w:t>
            </w:r>
          </w:p>
        </w:tc>
      </w:tr>
      <w:tr w:rsidR="000B3CB7" w:rsidRPr="006C1460" w14:paraId="6CA27445" w14:textId="77777777" w:rsidTr="00C264D2">
        <w:tc>
          <w:tcPr>
            <w:tcW w:w="1696" w:type="dxa"/>
          </w:tcPr>
          <w:p w14:paraId="79F55FAE" w14:textId="77777777" w:rsidR="000B3CB7" w:rsidRDefault="000B3CB7" w:rsidP="00C264D2">
            <w:pPr>
              <w:pStyle w:val="NormalWeb"/>
              <w:spacing w:line="480" w:lineRule="auto"/>
            </w:pPr>
            <w:r>
              <w:t xml:space="preserve">1984 – 1994 </w:t>
            </w:r>
          </w:p>
        </w:tc>
        <w:tc>
          <w:tcPr>
            <w:tcW w:w="2410" w:type="dxa"/>
          </w:tcPr>
          <w:p w14:paraId="55647D89" w14:textId="77777777" w:rsidR="000B3CB7" w:rsidRDefault="000B3CB7" w:rsidP="00C264D2">
            <w:pPr>
              <w:pStyle w:val="NormalWeb"/>
              <w:spacing w:line="480" w:lineRule="auto"/>
            </w:pPr>
            <w:r>
              <w:t xml:space="preserve">Privatization </w:t>
            </w:r>
          </w:p>
        </w:tc>
        <w:tc>
          <w:tcPr>
            <w:tcW w:w="4910" w:type="dxa"/>
          </w:tcPr>
          <w:p w14:paraId="0B30DD32" w14:textId="77777777" w:rsidR="000B3CB7" w:rsidRPr="006C1460" w:rsidRDefault="000B3CB7" w:rsidP="00C264D2">
            <w:pPr>
              <w:pStyle w:val="NormalWeb"/>
              <w:spacing w:line="480" w:lineRule="auto"/>
            </w:pPr>
            <w:r>
              <w:t>Privatization came in waves. The first was the nationalised industries and public utilities, most notably British Telecom in 1984 and British Gas in 1986. The second, privatizing public services, followed in the early to mid-1990s, as market testing and outsourcing entered the lexicon of public sector reform.</w:t>
            </w:r>
          </w:p>
        </w:tc>
      </w:tr>
      <w:tr w:rsidR="000B3CB7" w:rsidRPr="006C1460" w14:paraId="71B1521D" w14:textId="77777777" w:rsidTr="00C264D2">
        <w:tc>
          <w:tcPr>
            <w:tcW w:w="1696" w:type="dxa"/>
          </w:tcPr>
          <w:p w14:paraId="2F53623E" w14:textId="77777777" w:rsidR="000B3CB7" w:rsidRDefault="000B3CB7" w:rsidP="00C264D2">
            <w:pPr>
              <w:pStyle w:val="NormalWeb"/>
              <w:spacing w:line="480" w:lineRule="auto"/>
            </w:pPr>
            <w:r>
              <w:t>1988</w:t>
            </w:r>
          </w:p>
        </w:tc>
        <w:tc>
          <w:tcPr>
            <w:tcW w:w="2410" w:type="dxa"/>
          </w:tcPr>
          <w:p w14:paraId="2CECC302" w14:textId="77777777" w:rsidR="000B3CB7" w:rsidRDefault="000B3CB7" w:rsidP="00C264D2">
            <w:pPr>
              <w:pStyle w:val="NormalWeb"/>
              <w:spacing w:line="480" w:lineRule="auto"/>
            </w:pPr>
            <w:r>
              <w:t>Next Steps Programme</w:t>
            </w:r>
          </w:p>
        </w:tc>
        <w:tc>
          <w:tcPr>
            <w:tcW w:w="4910" w:type="dxa"/>
          </w:tcPr>
          <w:p w14:paraId="1201FF71" w14:textId="77777777" w:rsidR="000B3CB7" w:rsidRPr="006C1460" w:rsidRDefault="000B3CB7" w:rsidP="00C264D2">
            <w:pPr>
              <w:pStyle w:val="NormalWeb"/>
              <w:spacing w:line="480" w:lineRule="auto"/>
            </w:pPr>
            <w:r>
              <w:t xml:space="preserve">The </w:t>
            </w:r>
            <w:r>
              <w:rPr>
                <w:i/>
                <w:iCs/>
              </w:rPr>
              <w:t xml:space="preserve">Next Steps </w:t>
            </w:r>
            <w:r>
              <w:t xml:space="preserve">report was published in 1987, arguing that the civil service required reform to contend with the disparate tasks of modern </w:t>
            </w:r>
            <w:r>
              <w:lastRenderedPageBreak/>
              <w:t>government. Next Steps Agencies were intended to reduce the gap between management and delivery, improve managerial autonomy and financial planning and further enhance arm’s-length oversight from the centre.</w:t>
            </w:r>
          </w:p>
        </w:tc>
      </w:tr>
      <w:tr w:rsidR="000B3CB7" w:rsidRPr="006C1460" w14:paraId="17818CB0" w14:textId="77777777" w:rsidTr="00C264D2">
        <w:tc>
          <w:tcPr>
            <w:tcW w:w="1696" w:type="dxa"/>
          </w:tcPr>
          <w:p w14:paraId="3AA807FD" w14:textId="77777777" w:rsidR="000B3CB7" w:rsidRDefault="000B3CB7" w:rsidP="00C264D2">
            <w:pPr>
              <w:pStyle w:val="NormalWeb"/>
              <w:spacing w:line="480" w:lineRule="auto"/>
            </w:pPr>
            <w:r>
              <w:lastRenderedPageBreak/>
              <w:t xml:space="preserve">1991 – 2000 </w:t>
            </w:r>
          </w:p>
        </w:tc>
        <w:tc>
          <w:tcPr>
            <w:tcW w:w="2410" w:type="dxa"/>
          </w:tcPr>
          <w:p w14:paraId="5B474CA6" w14:textId="77777777" w:rsidR="000B3CB7" w:rsidRDefault="000B3CB7" w:rsidP="00C264D2">
            <w:pPr>
              <w:pStyle w:val="NormalWeb"/>
              <w:spacing w:line="480" w:lineRule="auto"/>
            </w:pPr>
            <w:r>
              <w:t>Citizen’s Charter</w:t>
            </w:r>
          </w:p>
        </w:tc>
        <w:tc>
          <w:tcPr>
            <w:tcW w:w="4910" w:type="dxa"/>
          </w:tcPr>
          <w:p w14:paraId="5954710B" w14:textId="77777777" w:rsidR="000B3CB7" w:rsidRPr="006C1460" w:rsidRDefault="000B3CB7" w:rsidP="00C264D2">
            <w:pPr>
              <w:pStyle w:val="NormalWeb"/>
              <w:spacing w:line="480" w:lineRule="auto"/>
            </w:pPr>
            <w:r>
              <w:t xml:space="preserve">The Citizen’s Charter expanded the range of performance indicators in the name of increased transparency and oversight. The attention turned to public service outcomes rather than inputs. More broadly, public service users were reframed as customers. </w:t>
            </w:r>
          </w:p>
        </w:tc>
      </w:tr>
      <w:tr w:rsidR="000B3CB7" w:rsidRPr="006C1460" w14:paraId="7940B4AB" w14:textId="77777777" w:rsidTr="00C264D2">
        <w:tc>
          <w:tcPr>
            <w:tcW w:w="1696" w:type="dxa"/>
          </w:tcPr>
          <w:p w14:paraId="5FFEFFAC" w14:textId="77777777" w:rsidR="000B3CB7" w:rsidRDefault="000B3CB7" w:rsidP="00C264D2">
            <w:pPr>
              <w:pStyle w:val="NormalWeb"/>
              <w:spacing w:line="480" w:lineRule="auto"/>
            </w:pPr>
            <w:r>
              <w:t>1991</w:t>
            </w:r>
          </w:p>
        </w:tc>
        <w:tc>
          <w:tcPr>
            <w:tcW w:w="2410" w:type="dxa"/>
          </w:tcPr>
          <w:p w14:paraId="54A34B1D" w14:textId="77777777" w:rsidR="000B3CB7" w:rsidRDefault="000B3CB7" w:rsidP="00C264D2">
            <w:pPr>
              <w:pStyle w:val="NormalWeb"/>
              <w:spacing w:line="480" w:lineRule="auto"/>
            </w:pPr>
            <w:r>
              <w:t>Market testing</w:t>
            </w:r>
          </w:p>
        </w:tc>
        <w:tc>
          <w:tcPr>
            <w:tcW w:w="4910" w:type="dxa"/>
          </w:tcPr>
          <w:p w14:paraId="17858B61" w14:textId="77777777" w:rsidR="000B3CB7" w:rsidRDefault="000B3CB7" w:rsidP="00C264D2">
            <w:pPr>
              <w:pStyle w:val="NormalWeb"/>
              <w:spacing w:line="480" w:lineRule="auto"/>
            </w:pPr>
            <w:r>
              <w:t xml:space="preserve">In-house public service providers were forced to ‘compete’ with external providers </w:t>
            </w:r>
            <w:proofErr w:type="gramStart"/>
            <w:r>
              <w:t>on the basis of</w:t>
            </w:r>
            <w:proofErr w:type="gramEnd"/>
            <w:r>
              <w:t xml:space="preserve"> costs.</w:t>
            </w:r>
          </w:p>
        </w:tc>
      </w:tr>
      <w:tr w:rsidR="000B3CB7" w:rsidRPr="006C1460" w14:paraId="35051B91" w14:textId="77777777" w:rsidTr="00C264D2">
        <w:tc>
          <w:tcPr>
            <w:tcW w:w="1696" w:type="dxa"/>
          </w:tcPr>
          <w:p w14:paraId="425FF94F" w14:textId="77777777" w:rsidR="000B3CB7" w:rsidRDefault="000B3CB7" w:rsidP="00C264D2">
            <w:pPr>
              <w:pStyle w:val="NormalWeb"/>
              <w:spacing w:line="480" w:lineRule="auto"/>
            </w:pPr>
            <w:r>
              <w:t>1994</w:t>
            </w:r>
          </w:p>
        </w:tc>
        <w:tc>
          <w:tcPr>
            <w:tcW w:w="2410" w:type="dxa"/>
          </w:tcPr>
          <w:p w14:paraId="76EC28D5" w14:textId="77777777" w:rsidR="000B3CB7" w:rsidRDefault="000B3CB7" w:rsidP="00C264D2">
            <w:pPr>
              <w:pStyle w:val="NormalWeb"/>
              <w:spacing w:line="480" w:lineRule="auto"/>
            </w:pPr>
            <w:r>
              <w:t>Private Finance Initiative</w:t>
            </w:r>
          </w:p>
        </w:tc>
        <w:tc>
          <w:tcPr>
            <w:tcW w:w="4910" w:type="dxa"/>
          </w:tcPr>
          <w:p w14:paraId="5CE76B1D" w14:textId="77777777" w:rsidR="000B3CB7" w:rsidRPr="006C1460" w:rsidRDefault="000B3CB7" w:rsidP="00C264D2">
            <w:pPr>
              <w:pStyle w:val="NormalWeb"/>
              <w:spacing w:line="480" w:lineRule="auto"/>
            </w:pPr>
            <w:r>
              <w:t xml:space="preserve">Public sector investment was increasingly turned over to the private sector for major infrastructure projects, such as prison, </w:t>
            </w:r>
            <w:proofErr w:type="gramStart"/>
            <w:r>
              <w:t>school</w:t>
            </w:r>
            <w:proofErr w:type="gramEnd"/>
            <w:r>
              <w:t xml:space="preserve"> or hospital building. In some cases, private sector providers operated and maintained the service after build on lengthy 25-year contracts. </w:t>
            </w:r>
          </w:p>
        </w:tc>
      </w:tr>
      <w:tr w:rsidR="000B3CB7" w:rsidRPr="006C1460" w14:paraId="54E78841" w14:textId="77777777" w:rsidTr="00C264D2">
        <w:tc>
          <w:tcPr>
            <w:tcW w:w="1696" w:type="dxa"/>
          </w:tcPr>
          <w:p w14:paraId="1FFF4FF6" w14:textId="77777777" w:rsidR="000B3CB7" w:rsidRDefault="000B3CB7" w:rsidP="00C264D2">
            <w:pPr>
              <w:pStyle w:val="NormalWeb"/>
              <w:spacing w:line="480" w:lineRule="auto"/>
            </w:pPr>
            <w:r>
              <w:t>1994</w:t>
            </w:r>
          </w:p>
        </w:tc>
        <w:tc>
          <w:tcPr>
            <w:tcW w:w="2410" w:type="dxa"/>
          </w:tcPr>
          <w:p w14:paraId="20AB5262" w14:textId="77777777" w:rsidR="000B3CB7" w:rsidRPr="0011438F" w:rsidRDefault="000B3CB7" w:rsidP="00C264D2">
            <w:pPr>
              <w:pStyle w:val="NormalWeb"/>
              <w:spacing w:line="480" w:lineRule="auto"/>
            </w:pPr>
            <w:r>
              <w:rPr>
                <w:i/>
                <w:iCs/>
              </w:rPr>
              <w:t xml:space="preserve">Civil Service: Continuity and Change, </w:t>
            </w:r>
            <w:r>
              <w:t>White Paper</w:t>
            </w:r>
          </w:p>
        </w:tc>
        <w:tc>
          <w:tcPr>
            <w:tcW w:w="4910" w:type="dxa"/>
          </w:tcPr>
          <w:p w14:paraId="67842E0D" w14:textId="77777777" w:rsidR="000B3CB7" w:rsidRPr="006C1460" w:rsidRDefault="000B3CB7" w:rsidP="00C264D2">
            <w:pPr>
              <w:pStyle w:val="NormalWeb"/>
              <w:spacing w:line="480" w:lineRule="auto"/>
            </w:pPr>
            <w:r>
              <w:t xml:space="preserve">Introduced the Senior Civil Service, consisting of the then 3,500 officials at grade 5 or above and chief executives of Next Steps Agencies. Detailed central oversight was reduced as departments and agencies had to prepare their </w:t>
            </w:r>
            <w:r>
              <w:lastRenderedPageBreak/>
              <w:t>own annual ‘efficiency plans’ although they were expected to continue using competition as a tool through market testing, privatization and contracting out.</w:t>
            </w:r>
          </w:p>
        </w:tc>
      </w:tr>
      <w:tr w:rsidR="000B3CB7" w:rsidRPr="006C1460" w14:paraId="289DC64E" w14:textId="77777777" w:rsidTr="00C264D2">
        <w:tc>
          <w:tcPr>
            <w:tcW w:w="1696" w:type="dxa"/>
          </w:tcPr>
          <w:p w14:paraId="51631628" w14:textId="77777777" w:rsidR="000B3CB7" w:rsidRDefault="000B3CB7" w:rsidP="00C264D2">
            <w:pPr>
              <w:pStyle w:val="NormalWeb"/>
              <w:spacing w:line="480" w:lineRule="auto"/>
            </w:pPr>
            <w:r>
              <w:lastRenderedPageBreak/>
              <w:t>1998</w:t>
            </w:r>
          </w:p>
        </w:tc>
        <w:tc>
          <w:tcPr>
            <w:tcW w:w="2410" w:type="dxa"/>
          </w:tcPr>
          <w:p w14:paraId="6155CFA0" w14:textId="77777777" w:rsidR="000B3CB7" w:rsidRPr="00C717FC" w:rsidRDefault="000B3CB7" w:rsidP="00C264D2">
            <w:pPr>
              <w:pStyle w:val="NormalWeb"/>
              <w:spacing w:line="480" w:lineRule="auto"/>
            </w:pPr>
            <w:r>
              <w:t>The first Comprehensive Spending Review and Public Service Agreement targets</w:t>
            </w:r>
          </w:p>
        </w:tc>
        <w:tc>
          <w:tcPr>
            <w:tcW w:w="4910" w:type="dxa"/>
          </w:tcPr>
          <w:p w14:paraId="340B17D3" w14:textId="77777777" w:rsidR="000B3CB7" w:rsidRPr="006C1460" w:rsidRDefault="000B3CB7" w:rsidP="00C264D2">
            <w:pPr>
              <w:pStyle w:val="NormalWeb"/>
              <w:spacing w:line="480" w:lineRule="auto"/>
            </w:pPr>
            <w:r>
              <w:t>Introduced multi-year budgeting and sought to link performance monitoring to departmental budget allocations.  Public Service Agreements focused on measuring output/outcomes. Between 1998 and 2007 the targets were refined considerably and reduced in numbers from 600 to 60.</w:t>
            </w:r>
          </w:p>
        </w:tc>
      </w:tr>
      <w:tr w:rsidR="000B3CB7" w:rsidRPr="006C1460" w14:paraId="3971999F" w14:textId="77777777" w:rsidTr="00C264D2">
        <w:tc>
          <w:tcPr>
            <w:tcW w:w="1696" w:type="dxa"/>
          </w:tcPr>
          <w:p w14:paraId="47CD7135" w14:textId="77777777" w:rsidR="000B3CB7" w:rsidRDefault="000B3CB7" w:rsidP="00C264D2">
            <w:pPr>
              <w:pStyle w:val="NormalWeb"/>
              <w:spacing w:line="480" w:lineRule="auto"/>
            </w:pPr>
            <w:r>
              <w:t>1999</w:t>
            </w:r>
          </w:p>
        </w:tc>
        <w:tc>
          <w:tcPr>
            <w:tcW w:w="2410" w:type="dxa"/>
          </w:tcPr>
          <w:p w14:paraId="2F7CD40C" w14:textId="77777777" w:rsidR="000B3CB7" w:rsidRPr="00EF040A" w:rsidRDefault="000B3CB7" w:rsidP="00C264D2">
            <w:pPr>
              <w:pStyle w:val="NormalWeb"/>
              <w:spacing w:line="480" w:lineRule="auto"/>
            </w:pPr>
            <w:r>
              <w:rPr>
                <w:i/>
                <w:iCs/>
              </w:rPr>
              <w:t xml:space="preserve">Modernising Government, </w:t>
            </w:r>
            <w:r>
              <w:t>White Paper</w:t>
            </w:r>
          </w:p>
        </w:tc>
        <w:tc>
          <w:tcPr>
            <w:tcW w:w="4910" w:type="dxa"/>
          </w:tcPr>
          <w:p w14:paraId="62DFA95F" w14:textId="77777777" w:rsidR="000B3CB7" w:rsidRPr="006C1460" w:rsidRDefault="000B3CB7" w:rsidP="00C264D2">
            <w:pPr>
              <w:pStyle w:val="NormalWeb"/>
              <w:spacing w:line="480" w:lineRule="auto"/>
            </w:pPr>
            <w:r>
              <w:t>Pushed the notion of ‘joined up’ and ‘integrated’ government amid a programme of modernization. It sought to transcend ‘big’ versus ‘small’ government debates and embraced the view that not ‘everything government does has to be delivered by the public sector’.</w:t>
            </w:r>
          </w:p>
        </w:tc>
      </w:tr>
      <w:tr w:rsidR="000B3CB7" w:rsidRPr="006C1460" w14:paraId="2CAF1A40" w14:textId="77777777" w:rsidTr="00C264D2">
        <w:tc>
          <w:tcPr>
            <w:tcW w:w="1696" w:type="dxa"/>
          </w:tcPr>
          <w:p w14:paraId="561F491E" w14:textId="77777777" w:rsidR="000B3CB7" w:rsidRDefault="000B3CB7" w:rsidP="00C264D2">
            <w:pPr>
              <w:pStyle w:val="NormalWeb"/>
              <w:spacing w:line="480" w:lineRule="auto"/>
            </w:pPr>
            <w:r>
              <w:t>2001 – 2010</w:t>
            </w:r>
          </w:p>
        </w:tc>
        <w:tc>
          <w:tcPr>
            <w:tcW w:w="2410" w:type="dxa"/>
          </w:tcPr>
          <w:p w14:paraId="0944F45F" w14:textId="77777777" w:rsidR="000B3CB7" w:rsidRPr="00976C67" w:rsidRDefault="000B3CB7" w:rsidP="00C264D2">
            <w:pPr>
              <w:pStyle w:val="NormalWeb"/>
              <w:spacing w:line="480" w:lineRule="auto"/>
            </w:pPr>
            <w:r>
              <w:t xml:space="preserve">Prime Minister’s Delivery Unit </w:t>
            </w:r>
          </w:p>
        </w:tc>
        <w:tc>
          <w:tcPr>
            <w:tcW w:w="4910" w:type="dxa"/>
          </w:tcPr>
          <w:p w14:paraId="355F8647" w14:textId="77777777" w:rsidR="000B3CB7" w:rsidRDefault="000B3CB7" w:rsidP="00C264D2">
            <w:pPr>
              <w:pStyle w:val="NormalWeb"/>
              <w:spacing w:line="480" w:lineRule="auto"/>
            </w:pPr>
            <w:r>
              <w:t xml:space="preserve">The PMDU focused on five distinct areas of public service delivery through bespoke targeting and monitoring from the centre. It initially focused on education, health, </w:t>
            </w:r>
            <w:proofErr w:type="gramStart"/>
            <w:r>
              <w:t>crime</w:t>
            </w:r>
            <w:proofErr w:type="gramEnd"/>
            <w:r>
              <w:t xml:space="preserve"> and transport and was headed by Sir Michael Barber.</w:t>
            </w:r>
          </w:p>
        </w:tc>
      </w:tr>
      <w:tr w:rsidR="000B3CB7" w:rsidRPr="006C1460" w14:paraId="0961EE5A" w14:textId="77777777" w:rsidTr="00C264D2">
        <w:tc>
          <w:tcPr>
            <w:tcW w:w="1696" w:type="dxa"/>
          </w:tcPr>
          <w:p w14:paraId="548ED587" w14:textId="77777777" w:rsidR="000B3CB7" w:rsidRDefault="000B3CB7" w:rsidP="00C264D2">
            <w:pPr>
              <w:pStyle w:val="NormalWeb"/>
              <w:spacing w:line="480" w:lineRule="auto"/>
            </w:pPr>
            <w:r>
              <w:t>2004</w:t>
            </w:r>
          </w:p>
        </w:tc>
        <w:tc>
          <w:tcPr>
            <w:tcW w:w="2410" w:type="dxa"/>
          </w:tcPr>
          <w:p w14:paraId="06A27270" w14:textId="77777777" w:rsidR="000B3CB7" w:rsidRDefault="000B3CB7" w:rsidP="00C264D2">
            <w:pPr>
              <w:pStyle w:val="NormalWeb"/>
              <w:spacing w:line="480" w:lineRule="auto"/>
            </w:pPr>
            <w:r>
              <w:t>Lyons Review</w:t>
            </w:r>
          </w:p>
        </w:tc>
        <w:tc>
          <w:tcPr>
            <w:tcW w:w="4910" w:type="dxa"/>
          </w:tcPr>
          <w:p w14:paraId="210CF6B9" w14:textId="77777777" w:rsidR="000B3CB7" w:rsidRDefault="000B3CB7" w:rsidP="00C264D2">
            <w:pPr>
              <w:pStyle w:val="NormalWeb"/>
              <w:spacing w:line="480" w:lineRule="auto"/>
            </w:pPr>
            <w:r>
              <w:t xml:space="preserve">The Lyons Review was established to assess the appropriateness of civil service staffing, in </w:t>
            </w:r>
            <w:r>
              <w:lastRenderedPageBreak/>
              <w:t xml:space="preserve">particular the concentration of officials in London. It identified 27,000 jobs that could be taken out of London and the </w:t>
            </w:r>
            <w:proofErr w:type="gramStart"/>
            <w:r>
              <w:t>South East</w:t>
            </w:r>
            <w:proofErr w:type="gramEnd"/>
            <w:r>
              <w:t>, recommended the slimming down of Whitehall headquarters and advocated the dispersal of civil servants to other regions.</w:t>
            </w:r>
          </w:p>
        </w:tc>
      </w:tr>
      <w:tr w:rsidR="000B3CB7" w:rsidRPr="006C1460" w14:paraId="0A27A437" w14:textId="77777777" w:rsidTr="00C264D2">
        <w:tc>
          <w:tcPr>
            <w:tcW w:w="1696" w:type="dxa"/>
          </w:tcPr>
          <w:p w14:paraId="0D01AFB1" w14:textId="77777777" w:rsidR="000B3CB7" w:rsidRDefault="000B3CB7" w:rsidP="00C264D2">
            <w:pPr>
              <w:pStyle w:val="NormalWeb"/>
              <w:spacing w:line="480" w:lineRule="auto"/>
            </w:pPr>
            <w:r>
              <w:lastRenderedPageBreak/>
              <w:t>2004</w:t>
            </w:r>
          </w:p>
        </w:tc>
        <w:tc>
          <w:tcPr>
            <w:tcW w:w="2410" w:type="dxa"/>
          </w:tcPr>
          <w:p w14:paraId="14BDC73C" w14:textId="77777777" w:rsidR="000B3CB7" w:rsidRPr="00560ABE" w:rsidRDefault="000B3CB7" w:rsidP="00C264D2">
            <w:pPr>
              <w:pStyle w:val="NormalWeb"/>
              <w:spacing w:line="480" w:lineRule="auto"/>
            </w:pPr>
            <w:r>
              <w:t>Gershon Review</w:t>
            </w:r>
          </w:p>
        </w:tc>
        <w:tc>
          <w:tcPr>
            <w:tcW w:w="4910" w:type="dxa"/>
          </w:tcPr>
          <w:p w14:paraId="4F910989" w14:textId="77777777" w:rsidR="000B3CB7" w:rsidRPr="006C1460" w:rsidRDefault="000B3CB7" w:rsidP="00C264D2">
            <w:pPr>
              <w:pStyle w:val="NormalWeb"/>
              <w:spacing w:line="480" w:lineRule="auto"/>
            </w:pPr>
            <w:r>
              <w:t xml:space="preserve">The Gershon Review targeted efficiencies across the public sector to enable a release of resources to front line services. It identified efficiency gains of over £20 billion in 2007-08. Its express intention was to deliver savings without impacting on public service delivery. </w:t>
            </w:r>
          </w:p>
        </w:tc>
      </w:tr>
      <w:tr w:rsidR="000B3CB7" w:rsidRPr="006C1460" w14:paraId="4C212C40" w14:textId="77777777" w:rsidTr="00C264D2">
        <w:tc>
          <w:tcPr>
            <w:tcW w:w="1696" w:type="dxa"/>
          </w:tcPr>
          <w:p w14:paraId="2DD3847C" w14:textId="77777777" w:rsidR="000B3CB7" w:rsidRDefault="000B3CB7" w:rsidP="00C264D2">
            <w:pPr>
              <w:pStyle w:val="NormalWeb"/>
              <w:spacing w:line="480" w:lineRule="auto"/>
            </w:pPr>
            <w:r>
              <w:t xml:space="preserve">2006 – 2012 </w:t>
            </w:r>
          </w:p>
        </w:tc>
        <w:tc>
          <w:tcPr>
            <w:tcW w:w="2410" w:type="dxa"/>
          </w:tcPr>
          <w:p w14:paraId="268E4CDC" w14:textId="77777777" w:rsidR="000B3CB7" w:rsidRDefault="000B3CB7" w:rsidP="00C264D2">
            <w:pPr>
              <w:pStyle w:val="NormalWeb"/>
              <w:spacing w:line="480" w:lineRule="auto"/>
            </w:pPr>
            <w:r>
              <w:t>Capability Reviews</w:t>
            </w:r>
          </w:p>
        </w:tc>
        <w:tc>
          <w:tcPr>
            <w:tcW w:w="4910" w:type="dxa"/>
          </w:tcPr>
          <w:p w14:paraId="3C275629" w14:textId="77777777" w:rsidR="000B3CB7" w:rsidRPr="006C1460" w:rsidRDefault="000B3CB7" w:rsidP="00C264D2">
            <w:pPr>
              <w:pStyle w:val="NormalWeb"/>
              <w:spacing w:line="480" w:lineRule="auto"/>
            </w:pPr>
            <w:r>
              <w:t>Capability Reviews were intended to be rigorous reviews of organizational capability across Whitehall through departmental scrutiny to improve quality. The programme was gradually eroded and finally became a self-assessment task before being eventually abandoned in 2012.</w:t>
            </w:r>
          </w:p>
        </w:tc>
      </w:tr>
      <w:tr w:rsidR="000B3CB7" w:rsidRPr="006C1460" w14:paraId="0A2D7302" w14:textId="77777777" w:rsidTr="00C264D2">
        <w:tc>
          <w:tcPr>
            <w:tcW w:w="1696" w:type="dxa"/>
          </w:tcPr>
          <w:p w14:paraId="2FAB666C" w14:textId="77777777" w:rsidR="000B3CB7" w:rsidRDefault="000B3CB7" w:rsidP="00C264D2">
            <w:pPr>
              <w:pStyle w:val="NormalWeb"/>
              <w:spacing w:line="480" w:lineRule="auto"/>
            </w:pPr>
            <w:r>
              <w:t>2010</w:t>
            </w:r>
          </w:p>
        </w:tc>
        <w:tc>
          <w:tcPr>
            <w:tcW w:w="2410" w:type="dxa"/>
          </w:tcPr>
          <w:p w14:paraId="5D850889" w14:textId="77777777" w:rsidR="000B3CB7" w:rsidRDefault="000B3CB7" w:rsidP="00C264D2">
            <w:pPr>
              <w:pStyle w:val="NormalWeb"/>
              <w:spacing w:line="480" w:lineRule="auto"/>
            </w:pPr>
            <w:r>
              <w:t xml:space="preserve">The Big Society </w:t>
            </w:r>
          </w:p>
        </w:tc>
        <w:tc>
          <w:tcPr>
            <w:tcW w:w="4910" w:type="dxa"/>
          </w:tcPr>
          <w:p w14:paraId="53A55EAA" w14:textId="77777777" w:rsidR="000B3CB7" w:rsidRDefault="000B3CB7" w:rsidP="00C264D2">
            <w:pPr>
              <w:pStyle w:val="NormalWeb"/>
              <w:spacing w:line="480" w:lineRule="auto"/>
            </w:pPr>
            <w:r>
              <w:t xml:space="preserve">Presented by then Prime Minister David Cameron as his vision for a reformed state, the Big Society was contrasted with the so-called era of ‘big government’ under New Labour. It advocated decentralising power downwards to civil society, </w:t>
            </w:r>
            <w:proofErr w:type="gramStart"/>
            <w:r>
              <w:t>communities</w:t>
            </w:r>
            <w:proofErr w:type="gramEnd"/>
            <w:r>
              <w:t xml:space="preserve"> and citizens. Voluntary and private sector actors were </w:t>
            </w:r>
            <w:r>
              <w:lastRenderedPageBreak/>
              <w:t xml:space="preserve">expected to fill the void created by the withdrawal of public sector providers. The Big Society sat uncomfortably alongside fiscal consolidation and ultimately proved to be little more than a rhetorical exercise. </w:t>
            </w:r>
          </w:p>
        </w:tc>
      </w:tr>
      <w:tr w:rsidR="000B3CB7" w:rsidRPr="006C1460" w14:paraId="4BB71B23" w14:textId="77777777" w:rsidTr="00C264D2">
        <w:tc>
          <w:tcPr>
            <w:tcW w:w="1696" w:type="dxa"/>
          </w:tcPr>
          <w:p w14:paraId="0CA1BFA3" w14:textId="77777777" w:rsidR="000B3CB7" w:rsidRDefault="000B3CB7" w:rsidP="00C264D2">
            <w:pPr>
              <w:pStyle w:val="NormalWeb"/>
              <w:spacing w:line="480" w:lineRule="auto"/>
            </w:pPr>
            <w:r>
              <w:lastRenderedPageBreak/>
              <w:t xml:space="preserve"> 2011 – 2015  </w:t>
            </w:r>
          </w:p>
        </w:tc>
        <w:tc>
          <w:tcPr>
            <w:tcW w:w="2410" w:type="dxa"/>
          </w:tcPr>
          <w:p w14:paraId="344194A0" w14:textId="77777777" w:rsidR="000B3CB7" w:rsidRPr="00463960" w:rsidRDefault="000B3CB7" w:rsidP="00C264D2">
            <w:pPr>
              <w:pStyle w:val="NormalWeb"/>
              <w:spacing w:line="480" w:lineRule="auto"/>
            </w:pPr>
            <w:r w:rsidRPr="00BF5103">
              <w:t>Public Bodies Act 2011</w:t>
            </w:r>
          </w:p>
        </w:tc>
        <w:tc>
          <w:tcPr>
            <w:tcW w:w="4910" w:type="dxa"/>
          </w:tcPr>
          <w:p w14:paraId="52EF91BF" w14:textId="77777777" w:rsidR="000B3CB7" w:rsidRDefault="000B3CB7" w:rsidP="00C264D2">
            <w:pPr>
              <w:pStyle w:val="NormalWeb"/>
              <w:spacing w:line="480" w:lineRule="auto"/>
            </w:pPr>
            <w:r>
              <w:t xml:space="preserve">The so-called ‘bonfire of the quangos’ embodied in the Public Bodies Act 2011 formed a major rhetorical arm of the Coalition government’s fiscal consolidation programme. Like the Big Society, it was intended to address the perception that the public sector had become bloated, unnecessarily expensive and a drag on efficiency. A broad range of public bodies were abolished. Ultimately, though, the process facilitated a wave of centralisation and the reclassification of public bodies instead of a meaningful reform.  </w:t>
            </w:r>
          </w:p>
        </w:tc>
      </w:tr>
      <w:tr w:rsidR="000B3CB7" w:rsidRPr="006C1460" w14:paraId="207F5771" w14:textId="77777777" w:rsidTr="00C264D2">
        <w:tc>
          <w:tcPr>
            <w:tcW w:w="1696" w:type="dxa"/>
          </w:tcPr>
          <w:p w14:paraId="4A98E3E2" w14:textId="77777777" w:rsidR="000B3CB7" w:rsidRDefault="000B3CB7" w:rsidP="00C264D2">
            <w:pPr>
              <w:pStyle w:val="NormalWeb"/>
              <w:spacing w:line="480" w:lineRule="auto"/>
            </w:pPr>
            <w:r>
              <w:t>2012</w:t>
            </w:r>
          </w:p>
        </w:tc>
        <w:tc>
          <w:tcPr>
            <w:tcW w:w="2410" w:type="dxa"/>
          </w:tcPr>
          <w:p w14:paraId="666B2A98" w14:textId="77777777" w:rsidR="000B3CB7" w:rsidRPr="00BF5103" w:rsidRDefault="000B3CB7" w:rsidP="00C264D2">
            <w:pPr>
              <w:pStyle w:val="NormalWeb"/>
              <w:spacing w:line="480" w:lineRule="auto"/>
              <w:rPr>
                <w:i/>
                <w:iCs/>
              </w:rPr>
            </w:pPr>
            <w:r>
              <w:rPr>
                <w:i/>
                <w:iCs/>
              </w:rPr>
              <w:t>Civil Service Reform Plan</w:t>
            </w:r>
          </w:p>
        </w:tc>
        <w:tc>
          <w:tcPr>
            <w:tcW w:w="4910" w:type="dxa"/>
          </w:tcPr>
          <w:p w14:paraId="384DECB9" w14:textId="77777777" w:rsidR="000B3CB7" w:rsidRPr="00B517B2" w:rsidRDefault="000B3CB7" w:rsidP="00C264D2">
            <w:pPr>
              <w:pStyle w:val="NormalWeb"/>
              <w:spacing w:line="480" w:lineRule="auto"/>
            </w:pPr>
            <w:r>
              <w:t xml:space="preserve">The </w:t>
            </w:r>
            <w:r>
              <w:rPr>
                <w:i/>
                <w:iCs/>
              </w:rPr>
              <w:t xml:space="preserve">Civil Service Reform Plan </w:t>
            </w:r>
            <w:r>
              <w:t xml:space="preserve">dramatically reduced the size of the civil service, instigated a pay </w:t>
            </w:r>
            <w:proofErr w:type="gramStart"/>
            <w:r>
              <w:t>freeze</w:t>
            </w:r>
            <w:proofErr w:type="gramEnd"/>
            <w:r>
              <w:t xml:space="preserve"> and purported to increase transparency surrounding senior civil servant appointments and remuneration. Its architects intended to strengthen core skills, improve performance and effectiveness and bolster policymaking processes generally. Ministers </w:t>
            </w:r>
            <w:r>
              <w:lastRenderedPageBreak/>
              <w:t>were granted greater control over senior appointments who, in turn, would be subject to more rigorous, targeted oversight of performance. The governing principles of the civil service remained intact.</w:t>
            </w:r>
          </w:p>
        </w:tc>
      </w:tr>
      <w:tr w:rsidR="000B3CB7" w:rsidRPr="006C1460" w14:paraId="4EEFE4D2" w14:textId="77777777" w:rsidTr="00C264D2">
        <w:tc>
          <w:tcPr>
            <w:tcW w:w="1696" w:type="dxa"/>
          </w:tcPr>
          <w:p w14:paraId="504A428C" w14:textId="77777777" w:rsidR="000B3CB7" w:rsidRDefault="000B3CB7" w:rsidP="00C264D2">
            <w:pPr>
              <w:pStyle w:val="NormalWeb"/>
              <w:spacing w:line="480" w:lineRule="auto"/>
            </w:pPr>
            <w:r>
              <w:lastRenderedPageBreak/>
              <w:t xml:space="preserve">2015 – present </w:t>
            </w:r>
          </w:p>
        </w:tc>
        <w:tc>
          <w:tcPr>
            <w:tcW w:w="2410" w:type="dxa"/>
          </w:tcPr>
          <w:p w14:paraId="4BE7CD0D" w14:textId="77777777" w:rsidR="000B3CB7" w:rsidRPr="00BF5103" w:rsidRDefault="000B3CB7" w:rsidP="00C264D2">
            <w:pPr>
              <w:pStyle w:val="NormalWeb"/>
              <w:spacing w:line="480" w:lineRule="auto"/>
            </w:pPr>
            <w:r>
              <w:t>Functional Model of government</w:t>
            </w:r>
          </w:p>
        </w:tc>
        <w:tc>
          <w:tcPr>
            <w:tcW w:w="4910" w:type="dxa"/>
          </w:tcPr>
          <w:p w14:paraId="16B23D8C" w14:textId="77777777" w:rsidR="000B3CB7" w:rsidRDefault="000B3CB7" w:rsidP="00C264D2">
            <w:pPr>
              <w:pStyle w:val="NormalWeb"/>
              <w:spacing w:line="480" w:lineRule="auto"/>
            </w:pPr>
            <w:r>
              <w:t>The Functional Model of government introduced cross-departmental corporate functions to address the lack of specialist skills within departments in areas including finance, HR, digital platforms, commercial knowledge etc. The principle is a simple one – resources, knowledge and expertise pooled at a strong corporate centre could be ‘leveraged at scale’ by departments. The programme has received praise, although remains a work in progress despite being introduced in 2015.</w:t>
            </w:r>
          </w:p>
        </w:tc>
      </w:tr>
      <w:tr w:rsidR="000B3CB7" w:rsidRPr="006C1460" w14:paraId="609E2454" w14:textId="77777777" w:rsidTr="00C264D2">
        <w:tc>
          <w:tcPr>
            <w:tcW w:w="1696" w:type="dxa"/>
          </w:tcPr>
          <w:p w14:paraId="642A38A2" w14:textId="77777777" w:rsidR="000B3CB7" w:rsidRDefault="000B3CB7" w:rsidP="00C264D2">
            <w:pPr>
              <w:pStyle w:val="NormalWeb"/>
              <w:spacing w:line="480" w:lineRule="auto"/>
            </w:pPr>
            <w:r>
              <w:t xml:space="preserve">2019 – present </w:t>
            </w:r>
          </w:p>
        </w:tc>
        <w:tc>
          <w:tcPr>
            <w:tcW w:w="2410" w:type="dxa"/>
          </w:tcPr>
          <w:p w14:paraId="42CB91B7" w14:textId="77777777" w:rsidR="000B3CB7" w:rsidRDefault="000B3CB7" w:rsidP="00C264D2">
            <w:pPr>
              <w:pStyle w:val="NormalWeb"/>
              <w:spacing w:line="480" w:lineRule="auto"/>
            </w:pPr>
            <w:r>
              <w:t>Public Value Framework</w:t>
            </w:r>
          </w:p>
        </w:tc>
        <w:tc>
          <w:tcPr>
            <w:tcW w:w="4910" w:type="dxa"/>
          </w:tcPr>
          <w:p w14:paraId="16A204C8" w14:textId="77777777" w:rsidR="000B3CB7" w:rsidRDefault="000B3CB7" w:rsidP="00C264D2">
            <w:pPr>
              <w:pStyle w:val="NormalWeb"/>
              <w:spacing w:line="480" w:lineRule="auto"/>
            </w:pPr>
            <w:r>
              <w:t xml:space="preserve">The Public Value Framework (PVF) has grown out of a report by Sir Michael Barber, published in 2017 (HM Treasury, 2017). Intended to enhance departmental understanding of funding and delivery in relation to policy outcomes, the PVF was introduced proper at the 2019 Spending Review following a series of successful pilots across government.  </w:t>
            </w:r>
          </w:p>
        </w:tc>
      </w:tr>
      <w:tr w:rsidR="000B3CB7" w:rsidRPr="006C1460" w14:paraId="58C9551E" w14:textId="77777777" w:rsidTr="00C264D2">
        <w:tc>
          <w:tcPr>
            <w:tcW w:w="1696" w:type="dxa"/>
          </w:tcPr>
          <w:p w14:paraId="2DE482C8" w14:textId="77777777" w:rsidR="000B3CB7" w:rsidRDefault="000B3CB7" w:rsidP="00C264D2">
            <w:pPr>
              <w:pStyle w:val="NormalWeb"/>
              <w:spacing w:line="480" w:lineRule="auto"/>
            </w:pPr>
            <w:r>
              <w:lastRenderedPageBreak/>
              <w:t>2021 – present</w:t>
            </w:r>
          </w:p>
        </w:tc>
        <w:tc>
          <w:tcPr>
            <w:tcW w:w="2410" w:type="dxa"/>
          </w:tcPr>
          <w:p w14:paraId="327A0B73" w14:textId="77777777" w:rsidR="000B3CB7" w:rsidRDefault="000B3CB7" w:rsidP="00C264D2">
            <w:pPr>
              <w:pStyle w:val="NormalWeb"/>
              <w:spacing w:line="480" w:lineRule="auto"/>
            </w:pPr>
            <w:r>
              <w:t>Outcome Delivery Plans</w:t>
            </w:r>
          </w:p>
        </w:tc>
        <w:tc>
          <w:tcPr>
            <w:tcW w:w="4910" w:type="dxa"/>
          </w:tcPr>
          <w:p w14:paraId="0F15F79F" w14:textId="77777777" w:rsidR="000B3CB7" w:rsidRDefault="000B3CB7" w:rsidP="00C264D2">
            <w:pPr>
              <w:pStyle w:val="NormalWeb"/>
              <w:spacing w:line="480" w:lineRule="auto"/>
            </w:pPr>
            <w:r>
              <w:t xml:space="preserve">Recently introduced to replace the often-criticised Single Departmental Plan, Outcome Delivery Plans are intended to operate alongside the PVF to further enhance departmental understanding of the relationship between inputs, </w:t>
            </w:r>
            <w:proofErr w:type="gramStart"/>
            <w:r>
              <w:t>outputs</w:t>
            </w:r>
            <w:proofErr w:type="gramEnd"/>
            <w:r>
              <w:t xml:space="preserve"> and policy outcomes. Department must outline strategies to deliver priority outcomes, provide high-quality evaluation plans and submit to central oversight. </w:t>
            </w:r>
          </w:p>
        </w:tc>
      </w:tr>
      <w:tr w:rsidR="000B3CB7" w:rsidRPr="006C1460" w14:paraId="3ABDEE7C" w14:textId="77777777" w:rsidTr="00C264D2">
        <w:tc>
          <w:tcPr>
            <w:tcW w:w="1696" w:type="dxa"/>
          </w:tcPr>
          <w:p w14:paraId="3ED34F3E" w14:textId="77777777" w:rsidR="000B3CB7" w:rsidRDefault="000B3CB7" w:rsidP="00C264D2">
            <w:pPr>
              <w:pStyle w:val="NormalWeb"/>
              <w:spacing w:line="480" w:lineRule="auto"/>
            </w:pPr>
            <w:r>
              <w:t>2021</w:t>
            </w:r>
          </w:p>
        </w:tc>
        <w:tc>
          <w:tcPr>
            <w:tcW w:w="2410" w:type="dxa"/>
          </w:tcPr>
          <w:p w14:paraId="4B93D437" w14:textId="77777777" w:rsidR="000B3CB7" w:rsidRDefault="000B3CB7" w:rsidP="00C264D2">
            <w:pPr>
              <w:pStyle w:val="NormalWeb"/>
              <w:spacing w:line="480" w:lineRule="auto"/>
            </w:pPr>
            <w:r>
              <w:t>Declaration on Government Reform</w:t>
            </w:r>
          </w:p>
        </w:tc>
        <w:tc>
          <w:tcPr>
            <w:tcW w:w="4910" w:type="dxa"/>
          </w:tcPr>
          <w:p w14:paraId="014121E5" w14:textId="77777777" w:rsidR="000B3CB7" w:rsidRDefault="000B3CB7" w:rsidP="00C264D2">
            <w:pPr>
              <w:pStyle w:val="NormalWeb"/>
              <w:spacing w:line="480" w:lineRule="auto"/>
            </w:pPr>
            <w:r>
              <w:t>Published in June 2021, this programme of reform was devised in the light of the COVID-19 pandemic, although in truth it continues a long series of incremental reforms. Its focus is on diversifying the civil service and opening it up to external appointments, losing its London-centric image, strengthening skills in digital, data science and commercial delivery and improving policy delivery generally. It reiterates the need to improve the outcomes of public spending. Central oversight of senior civil servants is to be further enhanced. The programme enjoys political backing but has been criticised for offering few novel solutions to long-standing problems in government and public administration.</w:t>
            </w:r>
          </w:p>
        </w:tc>
      </w:tr>
    </w:tbl>
    <w:p w14:paraId="1DC5097D" w14:textId="77777777" w:rsidR="000B3CB7" w:rsidRDefault="000B3CB7" w:rsidP="000B3CB7">
      <w:pPr>
        <w:spacing w:line="480" w:lineRule="auto"/>
        <w:jc w:val="both"/>
        <w:rPr>
          <w:color w:val="000000" w:themeColor="text1"/>
        </w:rPr>
        <w:sectPr w:rsidR="000B3CB7" w:rsidSect="002D7519">
          <w:footerReference w:type="even" r:id="rId4"/>
          <w:footerReference w:type="default" r:id="rId5"/>
          <w:pgSz w:w="11906" w:h="16838"/>
          <w:pgMar w:top="1440" w:right="1440" w:bottom="1440" w:left="1440" w:header="708" w:footer="708" w:gutter="0"/>
          <w:cols w:space="708"/>
          <w:docGrid w:linePitch="360"/>
        </w:sectPr>
      </w:pPr>
    </w:p>
    <w:tbl>
      <w:tblPr>
        <w:tblStyle w:val="TableGrid"/>
        <w:tblpPr w:leftFromText="180" w:rightFromText="180" w:horzAnchor="margin" w:tblpY="628"/>
        <w:tblW w:w="0" w:type="auto"/>
        <w:tblLook w:val="0000" w:firstRow="0" w:lastRow="0" w:firstColumn="0" w:lastColumn="0" w:noHBand="0" w:noVBand="0"/>
      </w:tblPr>
      <w:tblGrid>
        <w:gridCol w:w="3838"/>
        <w:gridCol w:w="987"/>
        <w:gridCol w:w="866"/>
        <w:gridCol w:w="866"/>
        <w:gridCol w:w="866"/>
        <w:gridCol w:w="941"/>
        <w:gridCol w:w="866"/>
        <w:gridCol w:w="866"/>
        <w:gridCol w:w="866"/>
        <w:gridCol w:w="942"/>
        <w:gridCol w:w="866"/>
        <w:gridCol w:w="1178"/>
      </w:tblGrid>
      <w:tr w:rsidR="000B3CB7" w:rsidRPr="00E814B5" w14:paraId="728D0DF2" w14:textId="77777777" w:rsidTr="00C264D2">
        <w:trPr>
          <w:trHeight w:val="300"/>
        </w:trPr>
        <w:tc>
          <w:tcPr>
            <w:tcW w:w="3838" w:type="dxa"/>
            <w:vAlign w:val="center"/>
          </w:tcPr>
          <w:p w14:paraId="2B09CC64"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p>
        </w:tc>
        <w:tc>
          <w:tcPr>
            <w:tcW w:w="987" w:type="dxa"/>
            <w:vAlign w:val="center"/>
          </w:tcPr>
          <w:p w14:paraId="31F2D2D9"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2011</w:t>
            </w:r>
          </w:p>
        </w:tc>
        <w:tc>
          <w:tcPr>
            <w:tcW w:w="866" w:type="dxa"/>
            <w:vAlign w:val="center"/>
          </w:tcPr>
          <w:p w14:paraId="4B8FA35A"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2012</w:t>
            </w:r>
          </w:p>
        </w:tc>
        <w:tc>
          <w:tcPr>
            <w:tcW w:w="866" w:type="dxa"/>
            <w:vAlign w:val="center"/>
          </w:tcPr>
          <w:p w14:paraId="607A8956"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2013</w:t>
            </w:r>
          </w:p>
        </w:tc>
        <w:tc>
          <w:tcPr>
            <w:tcW w:w="866" w:type="dxa"/>
            <w:vAlign w:val="center"/>
          </w:tcPr>
          <w:p w14:paraId="57F399AF"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2014</w:t>
            </w:r>
          </w:p>
        </w:tc>
        <w:tc>
          <w:tcPr>
            <w:tcW w:w="941" w:type="dxa"/>
            <w:vAlign w:val="center"/>
          </w:tcPr>
          <w:p w14:paraId="375BA890"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2015</w:t>
            </w:r>
          </w:p>
        </w:tc>
        <w:tc>
          <w:tcPr>
            <w:tcW w:w="866" w:type="dxa"/>
            <w:vAlign w:val="center"/>
          </w:tcPr>
          <w:p w14:paraId="525E7BEC"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2016</w:t>
            </w:r>
          </w:p>
        </w:tc>
        <w:tc>
          <w:tcPr>
            <w:tcW w:w="866" w:type="dxa"/>
            <w:vAlign w:val="center"/>
          </w:tcPr>
          <w:p w14:paraId="0DC4DDE3"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2017</w:t>
            </w:r>
          </w:p>
        </w:tc>
        <w:tc>
          <w:tcPr>
            <w:tcW w:w="866" w:type="dxa"/>
            <w:vAlign w:val="center"/>
          </w:tcPr>
          <w:p w14:paraId="5480F613"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2018</w:t>
            </w:r>
          </w:p>
        </w:tc>
        <w:tc>
          <w:tcPr>
            <w:tcW w:w="942" w:type="dxa"/>
            <w:vAlign w:val="center"/>
          </w:tcPr>
          <w:p w14:paraId="726D21F9"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2019</w:t>
            </w:r>
          </w:p>
        </w:tc>
        <w:tc>
          <w:tcPr>
            <w:tcW w:w="866" w:type="dxa"/>
            <w:vAlign w:val="center"/>
          </w:tcPr>
          <w:p w14:paraId="5FBD3CF3"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2020</w:t>
            </w:r>
          </w:p>
        </w:tc>
        <w:tc>
          <w:tcPr>
            <w:tcW w:w="1178" w:type="dxa"/>
            <w:vAlign w:val="center"/>
          </w:tcPr>
          <w:p w14:paraId="79D81AE7"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(Dec) 2020</w:t>
            </w:r>
          </w:p>
        </w:tc>
      </w:tr>
      <w:tr w:rsidR="000B3CB7" w:rsidRPr="00E814B5" w14:paraId="055BB5C4" w14:textId="77777777" w:rsidTr="00C264D2">
        <w:trPr>
          <w:trHeight w:val="340"/>
        </w:trPr>
        <w:tc>
          <w:tcPr>
            <w:tcW w:w="3838" w:type="dxa"/>
            <w:vAlign w:val="center"/>
          </w:tcPr>
          <w:p w14:paraId="285CEAD6" w14:textId="77777777" w:rsidR="000B3CB7" w:rsidRPr="00E814B5" w:rsidRDefault="000B3CB7" w:rsidP="00C264D2">
            <w:pPr>
              <w:autoSpaceDE w:val="0"/>
              <w:autoSpaceDN w:val="0"/>
              <w:adjustRightInd w:val="0"/>
              <w:spacing w:line="480" w:lineRule="auto"/>
              <w:rPr>
                <w:rFonts w:cs="Times New Roman"/>
                <w:color w:val="000000"/>
                <w:sz w:val="20"/>
                <w:szCs w:val="20"/>
                <w:vertAlign w:val="superscript"/>
              </w:rPr>
            </w:pPr>
            <w:r w:rsidRPr="00E814B5">
              <w:rPr>
                <w:rFonts w:cs="Times New Roman"/>
                <w:color w:val="000000"/>
                <w:sz w:val="20"/>
                <w:szCs w:val="20"/>
              </w:rPr>
              <w:t>Business, Energy and Industrial Strategy</w:t>
            </w:r>
            <w:r w:rsidRPr="00E814B5">
              <w:rPr>
                <w:rFonts w:cs="Times New Roman"/>
                <w:color w:val="000000"/>
                <w:sz w:val="20"/>
                <w:szCs w:val="20"/>
                <w:vertAlign w:val="superscript"/>
              </w:rPr>
              <w:t>1</w:t>
            </w:r>
          </w:p>
        </w:tc>
        <w:tc>
          <w:tcPr>
            <w:tcW w:w="987" w:type="dxa"/>
            <w:vAlign w:val="center"/>
          </w:tcPr>
          <w:p w14:paraId="0FA9D934"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11,040</w:t>
            </w:r>
          </w:p>
        </w:tc>
        <w:tc>
          <w:tcPr>
            <w:tcW w:w="866" w:type="dxa"/>
            <w:vAlign w:val="center"/>
          </w:tcPr>
          <w:p w14:paraId="01FE61FB"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17,790</w:t>
            </w:r>
          </w:p>
        </w:tc>
        <w:tc>
          <w:tcPr>
            <w:tcW w:w="866" w:type="dxa"/>
            <w:vAlign w:val="center"/>
          </w:tcPr>
          <w:p w14:paraId="1701959B"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18,100</w:t>
            </w:r>
          </w:p>
        </w:tc>
        <w:tc>
          <w:tcPr>
            <w:tcW w:w="866" w:type="dxa"/>
            <w:vAlign w:val="center"/>
          </w:tcPr>
          <w:p w14:paraId="32D5105C"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14,790</w:t>
            </w:r>
          </w:p>
        </w:tc>
        <w:tc>
          <w:tcPr>
            <w:tcW w:w="941" w:type="dxa"/>
            <w:vAlign w:val="center"/>
          </w:tcPr>
          <w:p w14:paraId="32E17AFB"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16,640</w:t>
            </w:r>
          </w:p>
        </w:tc>
        <w:tc>
          <w:tcPr>
            <w:tcW w:w="866" w:type="dxa"/>
            <w:vAlign w:val="center"/>
          </w:tcPr>
          <w:p w14:paraId="0F37B5B2"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15,650</w:t>
            </w:r>
          </w:p>
        </w:tc>
        <w:tc>
          <w:tcPr>
            <w:tcW w:w="866" w:type="dxa"/>
            <w:vAlign w:val="center"/>
          </w:tcPr>
          <w:p w14:paraId="67421E37"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14,460</w:t>
            </w:r>
          </w:p>
        </w:tc>
        <w:tc>
          <w:tcPr>
            <w:tcW w:w="866" w:type="dxa"/>
            <w:vAlign w:val="center"/>
          </w:tcPr>
          <w:p w14:paraId="6E8E18CB"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9,820</w:t>
            </w:r>
          </w:p>
        </w:tc>
        <w:tc>
          <w:tcPr>
            <w:tcW w:w="942" w:type="dxa"/>
            <w:vAlign w:val="center"/>
          </w:tcPr>
          <w:p w14:paraId="5C5A0467"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10,850</w:t>
            </w:r>
          </w:p>
        </w:tc>
        <w:tc>
          <w:tcPr>
            <w:tcW w:w="866" w:type="dxa"/>
            <w:vAlign w:val="center"/>
          </w:tcPr>
          <w:p w14:paraId="0467C98D"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11,690</w:t>
            </w:r>
          </w:p>
        </w:tc>
        <w:tc>
          <w:tcPr>
            <w:tcW w:w="1178" w:type="dxa"/>
            <w:vAlign w:val="center"/>
          </w:tcPr>
          <w:p w14:paraId="1CABC971"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12,710</w:t>
            </w:r>
          </w:p>
        </w:tc>
      </w:tr>
      <w:tr w:rsidR="000B3CB7" w:rsidRPr="00E814B5" w14:paraId="406B5D81" w14:textId="77777777" w:rsidTr="00C264D2">
        <w:trPr>
          <w:trHeight w:val="340"/>
        </w:trPr>
        <w:tc>
          <w:tcPr>
            <w:tcW w:w="3838" w:type="dxa"/>
            <w:vAlign w:val="center"/>
          </w:tcPr>
          <w:p w14:paraId="2A58DF25" w14:textId="77777777" w:rsidR="000B3CB7" w:rsidRPr="00E814B5" w:rsidRDefault="000B3CB7" w:rsidP="00C264D2">
            <w:pPr>
              <w:autoSpaceDE w:val="0"/>
              <w:autoSpaceDN w:val="0"/>
              <w:adjustRightInd w:val="0"/>
              <w:spacing w:line="480" w:lineRule="auto"/>
              <w:rPr>
                <w:rFonts w:cs="Times New Roman"/>
                <w:color w:val="000000"/>
                <w:sz w:val="20"/>
                <w:szCs w:val="20"/>
                <w:vertAlign w:val="superscript"/>
              </w:rPr>
            </w:pPr>
            <w:r w:rsidRPr="00E814B5">
              <w:rPr>
                <w:rFonts w:cs="Times New Roman"/>
                <w:color w:val="000000"/>
                <w:sz w:val="20"/>
                <w:szCs w:val="20"/>
              </w:rPr>
              <w:t>Cabinet Office</w:t>
            </w:r>
            <w:r w:rsidRPr="00E814B5">
              <w:rPr>
                <w:rFonts w:cs="Times New Roman"/>
                <w:color w:val="000000"/>
                <w:sz w:val="20"/>
                <w:szCs w:val="20"/>
                <w:vertAlign w:val="superscript"/>
              </w:rPr>
              <w:t>2</w:t>
            </w:r>
          </w:p>
        </w:tc>
        <w:tc>
          <w:tcPr>
            <w:tcW w:w="987" w:type="dxa"/>
            <w:vAlign w:val="center"/>
          </w:tcPr>
          <w:p w14:paraId="2E755819"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1,490</w:t>
            </w:r>
          </w:p>
        </w:tc>
        <w:tc>
          <w:tcPr>
            <w:tcW w:w="866" w:type="dxa"/>
            <w:vAlign w:val="center"/>
          </w:tcPr>
          <w:p w14:paraId="66C17FC3"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1,680</w:t>
            </w:r>
          </w:p>
        </w:tc>
        <w:tc>
          <w:tcPr>
            <w:tcW w:w="866" w:type="dxa"/>
            <w:vAlign w:val="center"/>
          </w:tcPr>
          <w:p w14:paraId="284F3D06"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1,750</w:t>
            </w:r>
          </w:p>
        </w:tc>
        <w:tc>
          <w:tcPr>
            <w:tcW w:w="866" w:type="dxa"/>
            <w:vAlign w:val="center"/>
          </w:tcPr>
          <w:p w14:paraId="02E4D937"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1,930</w:t>
            </w:r>
          </w:p>
        </w:tc>
        <w:tc>
          <w:tcPr>
            <w:tcW w:w="941" w:type="dxa"/>
            <w:vAlign w:val="center"/>
          </w:tcPr>
          <w:p w14:paraId="206DB1C7"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2,060</w:t>
            </w:r>
          </w:p>
        </w:tc>
        <w:tc>
          <w:tcPr>
            <w:tcW w:w="866" w:type="dxa"/>
            <w:vAlign w:val="center"/>
          </w:tcPr>
          <w:p w14:paraId="2B49EBE0"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2,040</w:t>
            </w:r>
          </w:p>
        </w:tc>
        <w:tc>
          <w:tcPr>
            <w:tcW w:w="866" w:type="dxa"/>
            <w:vAlign w:val="center"/>
          </w:tcPr>
          <w:p w14:paraId="4DEAACEB"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2,530</w:t>
            </w:r>
          </w:p>
        </w:tc>
        <w:tc>
          <w:tcPr>
            <w:tcW w:w="866" w:type="dxa"/>
            <w:vAlign w:val="center"/>
          </w:tcPr>
          <w:p w14:paraId="3EF88438"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5,160</w:t>
            </w:r>
          </w:p>
        </w:tc>
        <w:tc>
          <w:tcPr>
            <w:tcW w:w="942" w:type="dxa"/>
            <w:vAlign w:val="center"/>
          </w:tcPr>
          <w:p w14:paraId="5EF531CE"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6,130</w:t>
            </w:r>
          </w:p>
        </w:tc>
        <w:tc>
          <w:tcPr>
            <w:tcW w:w="866" w:type="dxa"/>
            <w:vAlign w:val="center"/>
          </w:tcPr>
          <w:p w14:paraId="7F84A764"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7,300</w:t>
            </w:r>
          </w:p>
        </w:tc>
        <w:tc>
          <w:tcPr>
            <w:tcW w:w="1178" w:type="dxa"/>
            <w:vAlign w:val="center"/>
          </w:tcPr>
          <w:p w14:paraId="1F169553"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9,230</w:t>
            </w:r>
          </w:p>
        </w:tc>
      </w:tr>
      <w:tr w:rsidR="000B3CB7" w:rsidRPr="00E814B5" w14:paraId="39262ABC" w14:textId="77777777" w:rsidTr="00C264D2">
        <w:trPr>
          <w:trHeight w:val="340"/>
        </w:trPr>
        <w:tc>
          <w:tcPr>
            <w:tcW w:w="3838" w:type="dxa"/>
            <w:vAlign w:val="center"/>
          </w:tcPr>
          <w:p w14:paraId="71EEFB39" w14:textId="77777777" w:rsidR="000B3CB7" w:rsidRPr="00E814B5" w:rsidRDefault="000B3CB7" w:rsidP="00C264D2">
            <w:pPr>
              <w:autoSpaceDE w:val="0"/>
              <w:autoSpaceDN w:val="0"/>
              <w:adjustRightInd w:val="0"/>
              <w:spacing w:line="480" w:lineRule="auto"/>
              <w:rPr>
                <w:rFonts w:cs="Times New Roman"/>
                <w:color w:val="000000"/>
                <w:sz w:val="20"/>
                <w:szCs w:val="20"/>
              </w:rPr>
            </w:pPr>
            <w:r w:rsidRPr="00E814B5">
              <w:rPr>
                <w:rFonts w:cs="Times New Roman"/>
                <w:color w:val="000000"/>
                <w:sz w:val="20"/>
                <w:szCs w:val="20"/>
              </w:rPr>
              <w:t>Defence</w:t>
            </w:r>
          </w:p>
        </w:tc>
        <w:tc>
          <w:tcPr>
            <w:tcW w:w="987" w:type="dxa"/>
            <w:vAlign w:val="center"/>
          </w:tcPr>
          <w:p w14:paraId="78289FFB"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71,930</w:t>
            </w:r>
          </w:p>
        </w:tc>
        <w:tc>
          <w:tcPr>
            <w:tcW w:w="866" w:type="dxa"/>
            <w:vAlign w:val="center"/>
          </w:tcPr>
          <w:p w14:paraId="498E5E23"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63,000</w:t>
            </w:r>
          </w:p>
        </w:tc>
        <w:tc>
          <w:tcPr>
            <w:tcW w:w="866" w:type="dxa"/>
            <w:vAlign w:val="center"/>
          </w:tcPr>
          <w:p w14:paraId="75BE4B97"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58,050</w:t>
            </w:r>
          </w:p>
        </w:tc>
        <w:tc>
          <w:tcPr>
            <w:tcW w:w="866" w:type="dxa"/>
            <w:vAlign w:val="center"/>
          </w:tcPr>
          <w:p w14:paraId="2066C8C2"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56,530</w:t>
            </w:r>
          </w:p>
        </w:tc>
        <w:tc>
          <w:tcPr>
            <w:tcW w:w="941" w:type="dxa"/>
            <w:vAlign w:val="center"/>
          </w:tcPr>
          <w:p w14:paraId="22307958"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56,340</w:t>
            </w:r>
          </w:p>
        </w:tc>
        <w:tc>
          <w:tcPr>
            <w:tcW w:w="866" w:type="dxa"/>
            <w:vAlign w:val="center"/>
          </w:tcPr>
          <w:p w14:paraId="38ABE7A8"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53,100</w:t>
            </w:r>
          </w:p>
        </w:tc>
        <w:tc>
          <w:tcPr>
            <w:tcW w:w="866" w:type="dxa"/>
            <w:vAlign w:val="center"/>
          </w:tcPr>
          <w:p w14:paraId="35E2E4D5"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53,780</w:t>
            </w:r>
          </w:p>
        </w:tc>
        <w:tc>
          <w:tcPr>
            <w:tcW w:w="866" w:type="dxa"/>
            <w:vAlign w:val="center"/>
          </w:tcPr>
          <w:p w14:paraId="5C71A02F"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53,750</w:t>
            </w:r>
          </w:p>
        </w:tc>
        <w:tc>
          <w:tcPr>
            <w:tcW w:w="942" w:type="dxa"/>
            <w:vAlign w:val="center"/>
          </w:tcPr>
          <w:p w14:paraId="0E1B1EFE"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54,940</w:t>
            </w:r>
          </w:p>
        </w:tc>
        <w:tc>
          <w:tcPr>
            <w:tcW w:w="866" w:type="dxa"/>
            <w:vAlign w:val="center"/>
          </w:tcPr>
          <w:p w14:paraId="4180A9AD"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56,500</w:t>
            </w:r>
          </w:p>
        </w:tc>
        <w:tc>
          <w:tcPr>
            <w:tcW w:w="1178" w:type="dxa"/>
            <w:vAlign w:val="center"/>
          </w:tcPr>
          <w:p w14:paraId="7FFA1C8C"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57,240</w:t>
            </w:r>
          </w:p>
        </w:tc>
      </w:tr>
      <w:tr w:rsidR="000B3CB7" w:rsidRPr="00E814B5" w14:paraId="6AD399D4" w14:textId="77777777" w:rsidTr="00C264D2">
        <w:trPr>
          <w:trHeight w:val="340"/>
        </w:trPr>
        <w:tc>
          <w:tcPr>
            <w:tcW w:w="3838" w:type="dxa"/>
            <w:vAlign w:val="center"/>
          </w:tcPr>
          <w:p w14:paraId="08423C27" w14:textId="77777777" w:rsidR="000B3CB7" w:rsidRPr="00E814B5" w:rsidRDefault="000B3CB7" w:rsidP="00C264D2">
            <w:pPr>
              <w:autoSpaceDE w:val="0"/>
              <w:autoSpaceDN w:val="0"/>
              <w:adjustRightInd w:val="0"/>
              <w:spacing w:line="480" w:lineRule="auto"/>
              <w:rPr>
                <w:rFonts w:cs="Times New Roman"/>
                <w:color w:val="000000"/>
                <w:sz w:val="20"/>
                <w:szCs w:val="20"/>
                <w:vertAlign w:val="superscript"/>
              </w:rPr>
            </w:pPr>
            <w:r w:rsidRPr="00E814B5">
              <w:rPr>
                <w:rFonts w:cs="Times New Roman"/>
                <w:color w:val="000000"/>
                <w:sz w:val="20"/>
                <w:szCs w:val="20"/>
              </w:rPr>
              <w:t>Digital, Culture, Media and Sport</w:t>
            </w:r>
            <w:r w:rsidRPr="00E814B5">
              <w:rPr>
                <w:rFonts w:cs="Times New Roman"/>
                <w:color w:val="000000"/>
                <w:sz w:val="20"/>
                <w:szCs w:val="20"/>
                <w:vertAlign w:val="superscript"/>
              </w:rPr>
              <w:t>3</w:t>
            </w:r>
          </w:p>
        </w:tc>
        <w:tc>
          <w:tcPr>
            <w:tcW w:w="987" w:type="dxa"/>
            <w:vAlign w:val="center"/>
          </w:tcPr>
          <w:p w14:paraId="700A4D14"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550</w:t>
            </w:r>
          </w:p>
        </w:tc>
        <w:tc>
          <w:tcPr>
            <w:tcW w:w="866" w:type="dxa"/>
            <w:vAlign w:val="center"/>
          </w:tcPr>
          <w:p w14:paraId="563BD8D9"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580</w:t>
            </w:r>
          </w:p>
        </w:tc>
        <w:tc>
          <w:tcPr>
            <w:tcW w:w="866" w:type="dxa"/>
            <w:vAlign w:val="center"/>
          </w:tcPr>
          <w:p w14:paraId="50FADBEA"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500</w:t>
            </w:r>
          </w:p>
        </w:tc>
        <w:tc>
          <w:tcPr>
            <w:tcW w:w="866" w:type="dxa"/>
            <w:vAlign w:val="center"/>
          </w:tcPr>
          <w:p w14:paraId="42D38D1B"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490</w:t>
            </w:r>
          </w:p>
        </w:tc>
        <w:tc>
          <w:tcPr>
            <w:tcW w:w="941" w:type="dxa"/>
            <w:vAlign w:val="center"/>
          </w:tcPr>
          <w:p w14:paraId="48D90A44"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570</w:t>
            </w:r>
          </w:p>
        </w:tc>
        <w:tc>
          <w:tcPr>
            <w:tcW w:w="866" w:type="dxa"/>
            <w:vAlign w:val="center"/>
          </w:tcPr>
          <w:p w14:paraId="496BBB27"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1,210</w:t>
            </w:r>
          </w:p>
        </w:tc>
        <w:tc>
          <w:tcPr>
            <w:tcW w:w="866" w:type="dxa"/>
            <w:vAlign w:val="center"/>
          </w:tcPr>
          <w:p w14:paraId="44F7A8F3"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620</w:t>
            </w:r>
          </w:p>
        </w:tc>
        <w:tc>
          <w:tcPr>
            <w:tcW w:w="866" w:type="dxa"/>
            <w:vAlign w:val="center"/>
          </w:tcPr>
          <w:p w14:paraId="6C194DB0"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850</w:t>
            </w:r>
          </w:p>
        </w:tc>
        <w:tc>
          <w:tcPr>
            <w:tcW w:w="942" w:type="dxa"/>
            <w:vAlign w:val="center"/>
          </w:tcPr>
          <w:p w14:paraId="21C649DB"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1,130</w:t>
            </w:r>
          </w:p>
        </w:tc>
        <w:tc>
          <w:tcPr>
            <w:tcW w:w="866" w:type="dxa"/>
            <w:vAlign w:val="center"/>
          </w:tcPr>
          <w:p w14:paraId="4F0C2635"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1,240</w:t>
            </w:r>
          </w:p>
        </w:tc>
        <w:tc>
          <w:tcPr>
            <w:tcW w:w="1178" w:type="dxa"/>
            <w:vAlign w:val="center"/>
          </w:tcPr>
          <w:p w14:paraId="20229C51"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1,560</w:t>
            </w:r>
          </w:p>
        </w:tc>
      </w:tr>
      <w:tr w:rsidR="000B3CB7" w:rsidRPr="00E814B5" w14:paraId="77EC8F4C" w14:textId="77777777" w:rsidTr="00C264D2">
        <w:trPr>
          <w:trHeight w:val="300"/>
        </w:trPr>
        <w:tc>
          <w:tcPr>
            <w:tcW w:w="3838" w:type="dxa"/>
            <w:vAlign w:val="center"/>
          </w:tcPr>
          <w:p w14:paraId="52C14204" w14:textId="77777777" w:rsidR="000B3CB7" w:rsidRPr="00E814B5" w:rsidRDefault="000B3CB7" w:rsidP="00C264D2">
            <w:pPr>
              <w:autoSpaceDE w:val="0"/>
              <w:autoSpaceDN w:val="0"/>
              <w:adjustRightInd w:val="0"/>
              <w:spacing w:line="480" w:lineRule="auto"/>
              <w:rPr>
                <w:rFonts w:cs="Times New Roman"/>
                <w:color w:val="000000"/>
                <w:sz w:val="20"/>
                <w:szCs w:val="20"/>
              </w:rPr>
            </w:pPr>
            <w:r w:rsidRPr="00E814B5">
              <w:rPr>
                <w:rFonts w:cs="Times New Roman"/>
                <w:color w:val="000000"/>
                <w:sz w:val="20"/>
                <w:szCs w:val="20"/>
              </w:rPr>
              <w:t>Education</w:t>
            </w:r>
          </w:p>
        </w:tc>
        <w:tc>
          <w:tcPr>
            <w:tcW w:w="987" w:type="dxa"/>
            <w:vAlign w:val="center"/>
          </w:tcPr>
          <w:p w14:paraId="5B0E71C9"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2,650</w:t>
            </w:r>
          </w:p>
        </w:tc>
        <w:tc>
          <w:tcPr>
            <w:tcW w:w="866" w:type="dxa"/>
            <w:vAlign w:val="center"/>
          </w:tcPr>
          <w:p w14:paraId="54302028"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2,780</w:t>
            </w:r>
          </w:p>
        </w:tc>
        <w:tc>
          <w:tcPr>
            <w:tcW w:w="866" w:type="dxa"/>
            <w:vAlign w:val="center"/>
          </w:tcPr>
          <w:p w14:paraId="554E8D33"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3,820</w:t>
            </w:r>
          </w:p>
        </w:tc>
        <w:tc>
          <w:tcPr>
            <w:tcW w:w="866" w:type="dxa"/>
            <w:vAlign w:val="center"/>
          </w:tcPr>
          <w:p w14:paraId="418BC23B"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3,430</w:t>
            </w:r>
          </w:p>
        </w:tc>
        <w:tc>
          <w:tcPr>
            <w:tcW w:w="941" w:type="dxa"/>
            <w:vAlign w:val="center"/>
          </w:tcPr>
          <w:p w14:paraId="29A73012"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3,280</w:t>
            </w:r>
          </w:p>
        </w:tc>
        <w:tc>
          <w:tcPr>
            <w:tcW w:w="866" w:type="dxa"/>
            <w:vAlign w:val="center"/>
          </w:tcPr>
          <w:p w14:paraId="0DEBE5D4"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3,460</w:t>
            </w:r>
          </w:p>
        </w:tc>
        <w:tc>
          <w:tcPr>
            <w:tcW w:w="866" w:type="dxa"/>
            <w:vAlign w:val="center"/>
          </w:tcPr>
          <w:p w14:paraId="2DDCADD7"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5,250</w:t>
            </w:r>
          </w:p>
        </w:tc>
        <w:tc>
          <w:tcPr>
            <w:tcW w:w="866" w:type="dxa"/>
            <w:vAlign w:val="center"/>
          </w:tcPr>
          <w:p w14:paraId="0605D0F3"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5,880</w:t>
            </w:r>
          </w:p>
        </w:tc>
        <w:tc>
          <w:tcPr>
            <w:tcW w:w="942" w:type="dxa"/>
            <w:vAlign w:val="center"/>
          </w:tcPr>
          <w:p w14:paraId="282DA477"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6,650</w:t>
            </w:r>
          </w:p>
        </w:tc>
        <w:tc>
          <w:tcPr>
            <w:tcW w:w="866" w:type="dxa"/>
            <w:vAlign w:val="center"/>
          </w:tcPr>
          <w:p w14:paraId="7A0B26D1"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7,150</w:t>
            </w:r>
          </w:p>
        </w:tc>
        <w:tc>
          <w:tcPr>
            <w:tcW w:w="1178" w:type="dxa"/>
            <w:vAlign w:val="center"/>
          </w:tcPr>
          <w:p w14:paraId="18DD2BF8"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7,620</w:t>
            </w:r>
          </w:p>
        </w:tc>
      </w:tr>
      <w:tr w:rsidR="000B3CB7" w:rsidRPr="00E814B5" w14:paraId="103838F9" w14:textId="77777777" w:rsidTr="00C264D2">
        <w:trPr>
          <w:trHeight w:val="300"/>
        </w:trPr>
        <w:tc>
          <w:tcPr>
            <w:tcW w:w="3838" w:type="dxa"/>
            <w:vAlign w:val="center"/>
          </w:tcPr>
          <w:p w14:paraId="49425E61" w14:textId="77777777" w:rsidR="000B3CB7" w:rsidRPr="00E814B5" w:rsidRDefault="000B3CB7" w:rsidP="00C264D2">
            <w:pPr>
              <w:autoSpaceDE w:val="0"/>
              <w:autoSpaceDN w:val="0"/>
              <w:adjustRightInd w:val="0"/>
              <w:spacing w:line="480" w:lineRule="auto"/>
              <w:rPr>
                <w:rFonts w:cs="Times New Roman"/>
                <w:color w:val="000000"/>
                <w:sz w:val="20"/>
                <w:szCs w:val="20"/>
              </w:rPr>
            </w:pPr>
            <w:r w:rsidRPr="00E814B5">
              <w:rPr>
                <w:rFonts w:cs="Times New Roman"/>
                <w:color w:val="000000"/>
                <w:sz w:val="20"/>
                <w:szCs w:val="20"/>
              </w:rPr>
              <w:t>Environment, Food and Rural Affairs</w:t>
            </w:r>
          </w:p>
        </w:tc>
        <w:tc>
          <w:tcPr>
            <w:tcW w:w="987" w:type="dxa"/>
            <w:vAlign w:val="center"/>
          </w:tcPr>
          <w:p w14:paraId="122B8E2D"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9,310</w:t>
            </w:r>
          </w:p>
        </w:tc>
        <w:tc>
          <w:tcPr>
            <w:tcW w:w="866" w:type="dxa"/>
            <w:vAlign w:val="center"/>
          </w:tcPr>
          <w:p w14:paraId="2BFA0D25"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8,970</w:t>
            </w:r>
          </w:p>
        </w:tc>
        <w:tc>
          <w:tcPr>
            <w:tcW w:w="866" w:type="dxa"/>
            <w:vAlign w:val="center"/>
          </w:tcPr>
          <w:p w14:paraId="32D71225"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8,550</w:t>
            </w:r>
          </w:p>
        </w:tc>
        <w:tc>
          <w:tcPr>
            <w:tcW w:w="866" w:type="dxa"/>
            <w:vAlign w:val="center"/>
          </w:tcPr>
          <w:p w14:paraId="7FDFD6C6"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8,060</w:t>
            </w:r>
          </w:p>
        </w:tc>
        <w:tc>
          <w:tcPr>
            <w:tcW w:w="941" w:type="dxa"/>
            <w:vAlign w:val="center"/>
          </w:tcPr>
          <w:p w14:paraId="493F791E"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7,960</w:t>
            </w:r>
          </w:p>
        </w:tc>
        <w:tc>
          <w:tcPr>
            <w:tcW w:w="866" w:type="dxa"/>
            <w:vAlign w:val="center"/>
          </w:tcPr>
          <w:p w14:paraId="2316523C"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6,840</w:t>
            </w:r>
          </w:p>
        </w:tc>
        <w:tc>
          <w:tcPr>
            <w:tcW w:w="866" w:type="dxa"/>
            <w:vAlign w:val="center"/>
          </w:tcPr>
          <w:p w14:paraId="2A5D9593"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6,700</w:t>
            </w:r>
          </w:p>
        </w:tc>
        <w:tc>
          <w:tcPr>
            <w:tcW w:w="866" w:type="dxa"/>
            <w:vAlign w:val="center"/>
          </w:tcPr>
          <w:p w14:paraId="633FF0B5"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7,680</w:t>
            </w:r>
          </w:p>
        </w:tc>
        <w:tc>
          <w:tcPr>
            <w:tcW w:w="942" w:type="dxa"/>
            <w:vAlign w:val="center"/>
          </w:tcPr>
          <w:p w14:paraId="27023476"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9,410</w:t>
            </w:r>
          </w:p>
        </w:tc>
        <w:tc>
          <w:tcPr>
            <w:tcW w:w="866" w:type="dxa"/>
            <w:vAlign w:val="center"/>
          </w:tcPr>
          <w:p w14:paraId="1AA34B24"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10,050</w:t>
            </w:r>
          </w:p>
        </w:tc>
        <w:tc>
          <w:tcPr>
            <w:tcW w:w="1178" w:type="dxa"/>
            <w:vAlign w:val="center"/>
          </w:tcPr>
          <w:p w14:paraId="0586675E"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10,360</w:t>
            </w:r>
          </w:p>
        </w:tc>
      </w:tr>
      <w:tr w:rsidR="000B3CB7" w:rsidRPr="00E814B5" w14:paraId="5A3FDD2B" w14:textId="77777777" w:rsidTr="00C264D2">
        <w:trPr>
          <w:trHeight w:val="300"/>
        </w:trPr>
        <w:tc>
          <w:tcPr>
            <w:tcW w:w="3838" w:type="dxa"/>
            <w:vAlign w:val="center"/>
          </w:tcPr>
          <w:p w14:paraId="57EE684B" w14:textId="77777777" w:rsidR="000B3CB7" w:rsidRPr="00E814B5" w:rsidRDefault="000B3CB7" w:rsidP="00C264D2">
            <w:pPr>
              <w:autoSpaceDE w:val="0"/>
              <w:autoSpaceDN w:val="0"/>
              <w:adjustRightInd w:val="0"/>
              <w:spacing w:line="480" w:lineRule="auto"/>
              <w:rPr>
                <w:rFonts w:cs="Times New Roman"/>
                <w:color w:val="000000"/>
                <w:sz w:val="20"/>
                <w:szCs w:val="20"/>
              </w:rPr>
            </w:pPr>
            <w:r w:rsidRPr="00E814B5">
              <w:rPr>
                <w:rFonts w:cs="Times New Roman"/>
                <w:color w:val="000000"/>
                <w:sz w:val="20"/>
                <w:szCs w:val="20"/>
              </w:rPr>
              <w:t>Exiting the European Union</w:t>
            </w:r>
          </w:p>
        </w:tc>
        <w:tc>
          <w:tcPr>
            <w:tcW w:w="987" w:type="dxa"/>
            <w:vAlign w:val="center"/>
          </w:tcPr>
          <w:p w14:paraId="7023FC28"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w:t>
            </w:r>
          </w:p>
        </w:tc>
        <w:tc>
          <w:tcPr>
            <w:tcW w:w="866" w:type="dxa"/>
            <w:vAlign w:val="center"/>
          </w:tcPr>
          <w:p w14:paraId="2F8D6E7D"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w:t>
            </w:r>
          </w:p>
        </w:tc>
        <w:tc>
          <w:tcPr>
            <w:tcW w:w="866" w:type="dxa"/>
            <w:vAlign w:val="center"/>
          </w:tcPr>
          <w:p w14:paraId="5FD470DF"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w:t>
            </w:r>
          </w:p>
        </w:tc>
        <w:tc>
          <w:tcPr>
            <w:tcW w:w="866" w:type="dxa"/>
            <w:vAlign w:val="center"/>
          </w:tcPr>
          <w:p w14:paraId="73FB1571"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w:t>
            </w:r>
          </w:p>
        </w:tc>
        <w:tc>
          <w:tcPr>
            <w:tcW w:w="941" w:type="dxa"/>
            <w:vAlign w:val="center"/>
          </w:tcPr>
          <w:p w14:paraId="0272889D"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w:t>
            </w:r>
          </w:p>
        </w:tc>
        <w:tc>
          <w:tcPr>
            <w:tcW w:w="866" w:type="dxa"/>
            <w:vAlign w:val="center"/>
          </w:tcPr>
          <w:p w14:paraId="7EEFAC8C"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w:t>
            </w:r>
          </w:p>
        </w:tc>
        <w:tc>
          <w:tcPr>
            <w:tcW w:w="866" w:type="dxa"/>
            <w:vAlign w:val="center"/>
          </w:tcPr>
          <w:p w14:paraId="4BBB7BEF"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210</w:t>
            </w:r>
          </w:p>
        </w:tc>
        <w:tc>
          <w:tcPr>
            <w:tcW w:w="866" w:type="dxa"/>
            <w:vAlign w:val="center"/>
          </w:tcPr>
          <w:p w14:paraId="728E6127"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550</w:t>
            </w:r>
          </w:p>
        </w:tc>
        <w:tc>
          <w:tcPr>
            <w:tcW w:w="942" w:type="dxa"/>
            <w:vAlign w:val="center"/>
          </w:tcPr>
          <w:p w14:paraId="5B32137F"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610</w:t>
            </w:r>
          </w:p>
        </w:tc>
        <w:tc>
          <w:tcPr>
            <w:tcW w:w="866" w:type="dxa"/>
            <w:vAlign w:val="center"/>
          </w:tcPr>
          <w:p w14:paraId="2B22D291"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600</w:t>
            </w:r>
          </w:p>
        </w:tc>
        <w:tc>
          <w:tcPr>
            <w:tcW w:w="1178" w:type="dxa"/>
            <w:vAlign w:val="center"/>
          </w:tcPr>
          <w:p w14:paraId="71F4DFF0"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w:t>
            </w:r>
          </w:p>
        </w:tc>
      </w:tr>
      <w:tr w:rsidR="000B3CB7" w:rsidRPr="00E814B5" w14:paraId="7CCBACDC" w14:textId="77777777" w:rsidTr="00C264D2">
        <w:trPr>
          <w:trHeight w:val="340"/>
        </w:trPr>
        <w:tc>
          <w:tcPr>
            <w:tcW w:w="3838" w:type="dxa"/>
            <w:vAlign w:val="center"/>
          </w:tcPr>
          <w:p w14:paraId="5F149283" w14:textId="77777777" w:rsidR="000B3CB7" w:rsidRPr="00E814B5" w:rsidRDefault="000B3CB7" w:rsidP="00C264D2">
            <w:pPr>
              <w:autoSpaceDE w:val="0"/>
              <w:autoSpaceDN w:val="0"/>
              <w:adjustRightInd w:val="0"/>
              <w:spacing w:line="480" w:lineRule="auto"/>
              <w:rPr>
                <w:rFonts w:cs="Times New Roman"/>
                <w:color w:val="000000"/>
                <w:sz w:val="20"/>
                <w:szCs w:val="20"/>
                <w:vertAlign w:val="superscript"/>
              </w:rPr>
            </w:pPr>
            <w:r w:rsidRPr="00E814B5">
              <w:rPr>
                <w:rFonts w:cs="Times New Roman"/>
                <w:color w:val="000000"/>
                <w:sz w:val="20"/>
                <w:szCs w:val="20"/>
              </w:rPr>
              <w:t>Foreign, Commonwealth and Development Office</w:t>
            </w:r>
            <w:r w:rsidRPr="00E814B5">
              <w:rPr>
                <w:rFonts w:cs="Times New Roman"/>
                <w:color w:val="000000"/>
                <w:sz w:val="20"/>
                <w:szCs w:val="20"/>
                <w:vertAlign w:val="superscript"/>
              </w:rPr>
              <w:t>4</w:t>
            </w:r>
          </w:p>
        </w:tc>
        <w:tc>
          <w:tcPr>
            <w:tcW w:w="987" w:type="dxa"/>
            <w:vAlign w:val="center"/>
          </w:tcPr>
          <w:p w14:paraId="334587E7"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5,720</w:t>
            </w:r>
          </w:p>
        </w:tc>
        <w:tc>
          <w:tcPr>
            <w:tcW w:w="866" w:type="dxa"/>
            <w:vAlign w:val="center"/>
          </w:tcPr>
          <w:p w14:paraId="0D7B7A5E"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5,910</w:t>
            </w:r>
          </w:p>
        </w:tc>
        <w:tc>
          <w:tcPr>
            <w:tcW w:w="866" w:type="dxa"/>
            <w:vAlign w:val="center"/>
          </w:tcPr>
          <w:p w14:paraId="55122CA2"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5,760</w:t>
            </w:r>
          </w:p>
        </w:tc>
        <w:tc>
          <w:tcPr>
            <w:tcW w:w="866" w:type="dxa"/>
            <w:vAlign w:val="center"/>
          </w:tcPr>
          <w:p w14:paraId="35471D71"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5,610</w:t>
            </w:r>
          </w:p>
        </w:tc>
        <w:tc>
          <w:tcPr>
            <w:tcW w:w="941" w:type="dxa"/>
            <w:vAlign w:val="center"/>
          </w:tcPr>
          <w:p w14:paraId="044142AF"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5,510</w:t>
            </w:r>
          </w:p>
        </w:tc>
        <w:tc>
          <w:tcPr>
            <w:tcW w:w="866" w:type="dxa"/>
            <w:vAlign w:val="center"/>
          </w:tcPr>
          <w:p w14:paraId="56A7E3C1"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5,490</w:t>
            </w:r>
          </w:p>
        </w:tc>
        <w:tc>
          <w:tcPr>
            <w:tcW w:w="866" w:type="dxa"/>
            <w:vAlign w:val="center"/>
          </w:tcPr>
          <w:p w14:paraId="01D93517"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5,390</w:t>
            </w:r>
          </w:p>
        </w:tc>
        <w:tc>
          <w:tcPr>
            <w:tcW w:w="866" w:type="dxa"/>
            <w:vAlign w:val="center"/>
          </w:tcPr>
          <w:p w14:paraId="04D65BE5"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5,530</w:t>
            </w:r>
          </w:p>
        </w:tc>
        <w:tc>
          <w:tcPr>
            <w:tcW w:w="942" w:type="dxa"/>
            <w:vAlign w:val="center"/>
          </w:tcPr>
          <w:p w14:paraId="2E901DF0"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6,130</w:t>
            </w:r>
          </w:p>
        </w:tc>
        <w:tc>
          <w:tcPr>
            <w:tcW w:w="866" w:type="dxa"/>
            <w:vAlign w:val="center"/>
          </w:tcPr>
          <w:p w14:paraId="69D93E11"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6,470</w:t>
            </w:r>
          </w:p>
        </w:tc>
        <w:tc>
          <w:tcPr>
            <w:tcW w:w="1178" w:type="dxa"/>
            <w:vAlign w:val="center"/>
          </w:tcPr>
          <w:p w14:paraId="4E2F047A"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8,630</w:t>
            </w:r>
          </w:p>
        </w:tc>
      </w:tr>
      <w:tr w:rsidR="000B3CB7" w:rsidRPr="00E814B5" w14:paraId="428F31D6" w14:textId="77777777" w:rsidTr="00C264D2">
        <w:trPr>
          <w:trHeight w:val="340"/>
        </w:trPr>
        <w:tc>
          <w:tcPr>
            <w:tcW w:w="3838" w:type="dxa"/>
            <w:vAlign w:val="center"/>
          </w:tcPr>
          <w:p w14:paraId="2CB36D62" w14:textId="77777777" w:rsidR="000B3CB7" w:rsidRPr="00E814B5" w:rsidRDefault="000B3CB7" w:rsidP="00C264D2">
            <w:pPr>
              <w:autoSpaceDE w:val="0"/>
              <w:autoSpaceDN w:val="0"/>
              <w:adjustRightInd w:val="0"/>
              <w:spacing w:line="480" w:lineRule="auto"/>
              <w:rPr>
                <w:rFonts w:cs="Times New Roman"/>
                <w:color w:val="000000"/>
                <w:sz w:val="20"/>
                <w:szCs w:val="20"/>
                <w:vertAlign w:val="superscript"/>
              </w:rPr>
            </w:pPr>
            <w:r w:rsidRPr="00E814B5">
              <w:rPr>
                <w:rFonts w:cs="Times New Roman"/>
                <w:color w:val="000000"/>
                <w:sz w:val="20"/>
                <w:szCs w:val="20"/>
              </w:rPr>
              <w:t>Health and Social Care</w:t>
            </w:r>
            <w:r w:rsidRPr="00E814B5">
              <w:rPr>
                <w:rFonts w:cs="Times New Roman"/>
                <w:color w:val="000000"/>
                <w:sz w:val="20"/>
                <w:szCs w:val="20"/>
                <w:vertAlign w:val="superscript"/>
              </w:rPr>
              <w:t>5</w:t>
            </w:r>
          </w:p>
        </w:tc>
        <w:tc>
          <w:tcPr>
            <w:tcW w:w="987" w:type="dxa"/>
            <w:vAlign w:val="center"/>
          </w:tcPr>
          <w:p w14:paraId="7A780D02"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3,620</w:t>
            </w:r>
          </w:p>
        </w:tc>
        <w:tc>
          <w:tcPr>
            <w:tcW w:w="866" w:type="dxa"/>
            <w:vAlign w:val="center"/>
          </w:tcPr>
          <w:p w14:paraId="6A97FFB5"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3,220</w:t>
            </w:r>
          </w:p>
        </w:tc>
        <w:tc>
          <w:tcPr>
            <w:tcW w:w="866" w:type="dxa"/>
            <w:vAlign w:val="center"/>
          </w:tcPr>
          <w:p w14:paraId="6439B7DD"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3,080</w:t>
            </w:r>
          </w:p>
        </w:tc>
        <w:tc>
          <w:tcPr>
            <w:tcW w:w="866" w:type="dxa"/>
            <w:vAlign w:val="center"/>
          </w:tcPr>
          <w:p w14:paraId="154F95D2"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8,130</w:t>
            </w:r>
          </w:p>
        </w:tc>
        <w:tc>
          <w:tcPr>
            <w:tcW w:w="941" w:type="dxa"/>
            <w:vAlign w:val="center"/>
          </w:tcPr>
          <w:p w14:paraId="2933486C"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8,450</w:t>
            </w:r>
          </w:p>
        </w:tc>
        <w:tc>
          <w:tcPr>
            <w:tcW w:w="866" w:type="dxa"/>
            <w:vAlign w:val="center"/>
          </w:tcPr>
          <w:p w14:paraId="2F6E1461"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8,120</w:t>
            </w:r>
          </w:p>
        </w:tc>
        <w:tc>
          <w:tcPr>
            <w:tcW w:w="866" w:type="dxa"/>
            <w:vAlign w:val="center"/>
          </w:tcPr>
          <w:p w14:paraId="2D10891C"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7,490</w:t>
            </w:r>
          </w:p>
        </w:tc>
        <w:tc>
          <w:tcPr>
            <w:tcW w:w="866" w:type="dxa"/>
            <w:vAlign w:val="center"/>
          </w:tcPr>
          <w:p w14:paraId="6E68AFAA"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7,950</w:t>
            </w:r>
          </w:p>
        </w:tc>
        <w:tc>
          <w:tcPr>
            <w:tcW w:w="942" w:type="dxa"/>
            <w:vAlign w:val="center"/>
          </w:tcPr>
          <w:p w14:paraId="41280B50"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8,000</w:t>
            </w:r>
          </w:p>
        </w:tc>
        <w:tc>
          <w:tcPr>
            <w:tcW w:w="866" w:type="dxa"/>
            <w:vAlign w:val="center"/>
          </w:tcPr>
          <w:p w14:paraId="3846CDF6"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8,020</w:t>
            </w:r>
          </w:p>
        </w:tc>
        <w:tc>
          <w:tcPr>
            <w:tcW w:w="1178" w:type="dxa"/>
            <w:vAlign w:val="center"/>
          </w:tcPr>
          <w:p w14:paraId="0F581E4D"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9,460</w:t>
            </w:r>
          </w:p>
        </w:tc>
      </w:tr>
      <w:tr w:rsidR="000B3CB7" w:rsidRPr="00E814B5" w14:paraId="57D2A799" w14:textId="77777777" w:rsidTr="00C264D2">
        <w:trPr>
          <w:trHeight w:val="300"/>
        </w:trPr>
        <w:tc>
          <w:tcPr>
            <w:tcW w:w="3838" w:type="dxa"/>
            <w:vAlign w:val="center"/>
          </w:tcPr>
          <w:p w14:paraId="0A77AB9F" w14:textId="77777777" w:rsidR="000B3CB7" w:rsidRPr="00E814B5" w:rsidRDefault="000B3CB7" w:rsidP="00C264D2">
            <w:pPr>
              <w:autoSpaceDE w:val="0"/>
              <w:autoSpaceDN w:val="0"/>
              <w:adjustRightInd w:val="0"/>
              <w:spacing w:line="480" w:lineRule="auto"/>
              <w:rPr>
                <w:rFonts w:cs="Times New Roman"/>
                <w:color w:val="000000"/>
                <w:sz w:val="20"/>
                <w:szCs w:val="20"/>
              </w:rPr>
            </w:pPr>
            <w:r w:rsidRPr="00E814B5">
              <w:rPr>
                <w:rFonts w:cs="Times New Roman"/>
                <w:color w:val="000000"/>
                <w:sz w:val="20"/>
                <w:szCs w:val="20"/>
              </w:rPr>
              <w:t>HM Treasury</w:t>
            </w:r>
          </w:p>
        </w:tc>
        <w:tc>
          <w:tcPr>
            <w:tcW w:w="987" w:type="dxa"/>
            <w:vAlign w:val="center"/>
          </w:tcPr>
          <w:p w14:paraId="2BFFB42D"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1,180</w:t>
            </w:r>
          </w:p>
        </w:tc>
        <w:tc>
          <w:tcPr>
            <w:tcW w:w="866" w:type="dxa"/>
            <w:vAlign w:val="center"/>
          </w:tcPr>
          <w:p w14:paraId="0BAFEBC8"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1,220</w:t>
            </w:r>
          </w:p>
        </w:tc>
        <w:tc>
          <w:tcPr>
            <w:tcW w:w="866" w:type="dxa"/>
            <w:vAlign w:val="center"/>
          </w:tcPr>
          <w:p w14:paraId="76F50B6E"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1,130</w:t>
            </w:r>
          </w:p>
        </w:tc>
        <w:tc>
          <w:tcPr>
            <w:tcW w:w="866" w:type="dxa"/>
            <w:vAlign w:val="center"/>
          </w:tcPr>
          <w:p w14:paraId="31C46882"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1,090</w:t>
            </w:r>
          </w:p>
        </w:tc>
        <w:tc>
          <w:tcPr>
            <w:tcW w:w="941" w:type="dxa"/>
            <w:vAlign w:val="center"/>
          </w:tcPr>
          <w:p w14:paraId="56EA0C48"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1,120</w:t>
            </w:r>
          </w:p>
        </w:tc>
        <w:tc>
          <w:tcPr>
            <w:tcW w:w="866" w:type="dxa"/>
            <w:vAlign w:val="center"/>
          </w:tcPr>
          <w:p w14:paraId="6BE603D0"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1,270</w:t>
            </w:r>
          </w:p>
        </w:tc>
        <w:tc>
          <w:tcPr>
            <w:tcW w:w="866" w:type="dxa"/>
            <w:vAlign w:val="center"/>
          </w:tcPr>
          <w:p w14:paraId="722D44B6"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1,240</w:t>
            </w:r>
          </w:p>
        </w:tc>
        <w:tc>
          <w:tcPr>
            <w:tcW w:w="866" w:type="dxa"/>
            <w:vAlign w:val="center"/>
          </w:tcPr>
          <w:p w14:paraId="4DB1E796"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1,960</w:t>
            </w:r>
          </w:p>
        </w:tc>
        <w:tc>
          <w:tcPr>
            <w:tcW w:w="942" w:type="dxa"/>
            <w:vAlign w:val="center"/>
          </w:tcPr>
          <w:p w14:paraId="3D0E4DDE"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2,080</w:t>
            </w:r>
          </w:p>
        </w:tc>
        <w:tc>
          <w:tcPr>
            <w:tcW w:w="866" w:type="dxa"/>
            <w:vAlign w:val="center"/>
          </w:tcPr>
          <w:p w14:paraId="68CE1876"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2,210</w:t>
            </w:r>
          </w:p>
        </w:tc>
        <w:tc>
          <w:tcPr>
            <w:tcW w:w="1178" w:type="dxa"/>
            <w:vAlign w:val="center"/>
          </w:tcPr>
          <w:p w14:paraId="458D4667"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2,620</w:t>
            </w:r>
          </w:p>
        </w:tc>
      </w:tr>
      <w:tr w:rsidR="000B3CB7" w:rsidRPr="00E814B5" w14:paraId="5FDCE63F" w14:textId="77777777" w:rsidTr="00C264D2">
        <w:trPr>
          <w:trHeight w:val="300"/>
        </w:trPr>
        <w:tc>
          <w:tcPr>
            <w:tcW w:w="3838" w:type="dxa"/>
            <w:vAlign w:val="center"/>
          </w:tcPr>
          <w:p w14:paraId="47746BAD" w14:textId="77777777" w:rsidR="000B3CB7" w:rsidRPr="00E814B5" w:rsidRDefault="000B3CB7" w:rsidP="00C264D2">
            <w:pPr>
              <w:autoSpaceDE w:val="0"/>
              <w:autoSpaceDN w:val="0"/>
              <w:adjustRightInd w:val="0"/>
              <w:spacing w:line="480" w:lineRule="auto"/>
              <w:rPr>
                <w:rFonts w:cs="Times New Roman"/>
                <w:color w:val="000000"/>
                <w:sz w:val="20"/>
                <w:szCs w:val="20"/>
              </w:rPr>
            </w:pPr>
            <w:r w:rsidRPr="00E814B5">
              <w:rPr>
                <w:rFonts w:cs="Times New Roman"/>
                <w:color w:val="000000"/>
                <w:sz w:val="20"/>
                <w:szCs w:val="20"/>
              </w:rPr>
              <w:t>Home Office</w:t>
            </w:r>
          </w:p>
        </w:tc>
        <w:tc>
          <w:tcPr>
            <w:tcW w:w="987" w:type="dxa"/>
            <w:vAlign w:val="center"/>
          </w:tcPr>
          <w:p w14:paraId="5853B68B"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27,240</w:t>
            </w:r>
          </w:p>
        </w:tc>
        <w:tc>
          <w:tcPr>
            <w:tcW w:w="866" w:type="dxa"/>
            <w:vAlign w:val="center"/>
          </w:tcPr>
          <w:p w14:paraId="1E8EE583"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26,180</w:t>
            </w:r>
          </w:p>
        </w:tc>
        <w:tc>
          <w:tcPr>
            <w:tcW w:w="866" w:type="dxa"/>
            <w:vAlign w:val="center"/>
          </w:tcPr>
          <w:p w14:paraId="6B07A575"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26,140</w:t>
            </w:r>
          </w:p>
        </w:tc>
        <w:tc>
          <w:tcPr>
            <w:tcW w:w="866" w:type="dxa"/>
            <w:vAlign w:val="center"/>
          </w:tcPr>
          <w:p w14:paraId="1F6375AA"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26,570</w:t>
            </w:r>
          </w:p>
        </w:tc>
        <w:tc>
          <w:tcPr>
            <w:tcW w:w="941" w:type="dxa"/>
            <w:vAlign w:val="center"/>
          </w:tcPr>
          <w:p w14:paraId="45A5AD7C"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27,980</w:t>
            </w:r>
          </w:p>
        </w:tc>
        <w:tc>
          <w:tcPr>
            <w:tcW w:w="866" w:type="dxa"/>
            <w:vAlign w:val="center"/>
          </w:tcPr>
          <w:p w14:paraId="7FFD46C2"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27,280</w:t>
            </w:r>
          </w:p>
        </w:tc>
        <w:tc>
          <w:tcPr>
            <w:tcW w:w="866" w:type="dxa"/>
            <w:vAlign w:val="center"/>
          </w:tcPr>
          <w:p w14:paraId="32908314"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27,180</w:t>
            </w:r>
          </w:p>
        </w:tc>
        <w:tc>
          <w:tcPr>
            <w:tcW w:w="866" w:type="dxa"/>
            <w:vAlign w:val="center"/>
          </w:tcPr>
          <w:p w14:paraId="6D0160D1"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28,140</w:t>
            </w:r>
          </w:p>
        </w:tc>
        <w:tc>
          <w:tcPr>
            <w:tcW w:w="942" w:type="dxa"/>
            <w:vAlign w:val="center"/>
          </w:tcPr>
          <w:p w14:paraId="68EC27DC"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31,680</w:t>
            </w:r>
          </w:p>
        </w:tc>
        <w:tc>
          <w:tcPr>
            <w:tcW w:w="866" w:type="dxa"/>
            <w:vAlign w:val="center"/>
          </w:tcPr>
          <w:p w14:paraId="46C21F87"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33,140</w:t>
            </w:r>
          </w:p>
        </w:tc>
        <w:tc>
          <w:tcPr>
            <w:tcW w:w="1178" w:type="dxa"/>
            <w:vAlign w:val="center"/>
          </w:tcPr>
          <w:p w14:paraId="20405A82"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34,150</w:t>
            </w:r>
          </w:p>
        </w:tc>
      </w:tr>
      <w:tr w:rsidR="000B3CB7" w:rsidRPr="00E814B5" w14:paraId="7CEB7362" w14:textId="77777777" w:rsidTr="00C264D2">
        <w:trPr>
          <w:trHeight w:val="340"/>
        </w:trPr>
        <w:tc>
          <w:tcPr>
            <w:tcW w:w="3838" w:type="dxa"/>
            <w:vAlign w:val="center"/>
          </w:tcPr>
          <w:p w14:paraId="3879E17E" w14:textId="77777777" w:rsidR="000B3CB7" w:rsidRPr="00E814B5" w:rsidRDefault="000B3CB7" w:rsidP="00C264D2">
            <w:pPr>
              <w:autoSpaceDE w:val="0"/>
              <w:autoSpaceDN w:val="0"/>
              <w:adjustRightInd w:val="0"/>
              <w:spacing w:line="480" w:lineRule="auto"/>
              <w:rPr>
                <w:rFonts w:cs="Times New Roman"/>
                <w:color w:val="000000"/>
                <w:sz w:val="20"/>
                <w:szCs w:val="20"/>
                <w:vertAlign w:val="superscript"/>
              </w:rPr>
            </w:pPr>
            <w:r w:rsidRPr="00E814B5">
              <w:rPr>
                <w:rFonts w:cs="Times New Roman"/>
                <w:color w:val="000000"/>
                <w:sz w:val="20"/>
                <w:szCs w:val="20"/>
              </w:rPr>
              <w:t>Housing, Communities and Local Government</w:t>
            </w:r>
            <w:r w:rsidRPr="00E814B5">
              <w:rPr>
                <w:rFonts w:cs="Times New Roman"/>
                <w:color w:val="000000"/>
                <w:sz w:val="20"/>
                <w:szCs w:val="20"/>
                <w:vertAlign w:val="superscript"/>
              </w:rPr>
              <w:t>6</w:t>
            </w:r>
          </w:p>
        </w:tc>
        <w:tc>
          <w:tcPr>
            <w:tcW w:w="987" w:type="dxa"/>
            <w:vAlign w:val="center"/>
          </w:tcPr>
          <w:p w14:paraId="36CC7A1D"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4,160</w:t>
            </w:r>
          </w:p>
        </w:tc>
        <w:tc>
          <w:tcPr>
            <w:tcW w:w="866" w:type="dxa"/>
            <w:vAlign w:val="center"/>
          </w:tcPr>
          <w:p w14:paraId="5D756E1E"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2,760</w:t>
            </w:r>
          </w:p>
        </w:tc>
        <w:tc>
          <w:tcPr>
            <w:tcW w:w="866" w:type="dxa"/>
            <w:vAlign w:val="center"/>
          </w:tcPr>
          <w:p w14:paraId="7D0E6EF4"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2,480</w:t>
            </w:r>
          </w:p>
        </w:tc>
        <w:tc>
          <w:tcPr>
            <w:tcW w:w="866" w:type="dxa"/>
            <w:vAlign w:val="center"/>
          </w:tcPr>
          <w:p w14:paraId="2DC382B9"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2,480</w:t>
            </w:r>
          </w:p>
        </w:tc>
        <w:tc>
          <w:tcPr>
            <w:tcW w:w="941" w:type="dxa"/>
            <w:vAlign w:val="center"/>
          </w:tcPr>
          <w:p w14:paraId="407AC541"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2,430</w:t>
            </w:r>
          </w:p>
        </w:tc>
        <w:tc>
          <w:tcPr>
            <w:tcW w:w="866" w:type="dxa"/>
            <w:vAlign w:val="center"/>
          </w:tcPr>
          <w:p w14:paraId="40EE247B"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2,500</w:t>
            </w:r>
          </w:p>
        </w:tc>
        <w:tc>
          <w:tcPr>
            <w:tcW w:w="866" w:type="dxa"/>
            <w:vAlign w:val="center"/>
          </w:tcPr>
          <w:p w14:paraId="0AFA62AC"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2,160</w:t>
            </w:r>
          </w:p>
        </w:tc>
        <w:tc>
          <w:tcPr>
            <w:tcW w:w="866" w:type="dxa"/>
            <w:vAlign w:val="center"/>
          </w:tcPr>
          <w:p w14:paraId="42A807BF"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2,390</w:t>
            </w:r>
          </w:p>
        </w:tc>
        <w:tc>
          <w:tcPr>
            <w:tcW w:w="942" w:type="dxa"/>
            <w:vAlign w:val="center"/>
          </w:tcPr>
          <w:p w14:paraId="433E0B1F"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2,690</w:t>
            </w:r>
          </w:p>
        </w:tc>
        <w:tc>
          <w:tcPr>
            <w:tcW w:w="866" w:type="dxa"/>
            <w:vAlign w:val="center"/>
          </w:tcPr>
          <w:p w14:paraId="3E3D6AD8"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3,130</w:t>
            </w:r>
          </w:p>
        </w:tc>
        <w:tc>
          <w:tcPr>
            <w:tcW w:w="1178" w:type="dxa"/>
            <w:vAlign w:val="center"/>
          </w:tcPr>
          <w:p w14:paraId="5538BE5A"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3,210</w:t>
            </w:r>
          </w:p>
        </w:tc>
      </w:tr>
      <w:tr w:rsidR="000B3CB7" w:rsidRPr="00E814B5" w14:paraId="3824E1AA" w14:textId="77777777" w:rsidTr="00C264D2">
        <w:trPr>
          <w:trHeight w:val="300"/>
        </w:trPr>
        <w:tc>
          <w:tcPr>
            <w:tcW w:w="3838" w:type="dxa"/>
            <w:vAlign w:val="center"/>
          </w:tcPr>
          <w:p w14:paraId="6FB67DFF" w14:textId="77777777" w:rsidR="000B3CB7" w:rsidRPr="00E814B5" w:rsidRDefault="000B3CB7" w:rsidP="00C264D2">
            <w:pPr>
              <w:autoSpaceDE w:val="0"/>
              <w:autoSpaceDN w:val="0"/>
              <w:adjustRightInd w:val="0"/>
              <w:spacing w:line="480" w:lineRule="auto"/>
              <w:rPr>
                <w:rFonts w:cs="Times New Roman"/>
                <w:color w:val="000000"/>
                <w:sz w:val="20"/>
                <w:szCs w:val="20"/>
              </w:rPr>
            </w:pPr>
            <w:r w:rsidRPr="00E814B5">
              <w:rPr>
                <w:rFonts w:cs="Times New Roman"/>
                <w:color w:val="000000"/>
                <w:sz w:val="20"/>
                <w:szCs w:val="20"/>
              </w:rPr>
              <w:t xml:space="preserve">International Development </w:t>
            </w:r>
          </w:p>
        </w:tc>
        <w:tc>
          <w:tcPr>
            <w:tcW w:w="987" w:type="dxa"/>
            <w:vAlign w:val="center"/>
          </w:tcPr>
          <w:p w14:paraId="470C822B"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1,560</w:t>
            </w:r>
          </w:p>
        </w:tc>
        <w:tc>
          <w:tcPr>
            <w:tcW w:w="866" w:type="dxa"/>
            <w:vAlign w:val="center"/>
          </w:tcPr>
          <w:p w14:paraId="45EA8011"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1,680</w:t>
            </w:r>
          </w:p>
        </w:tc>
        <w:tc>
          <w:tcPr>
            <w:tcW w:w="866" w:type="dxa"/>
            <w:vAlign w:val="center"/>
          </w:tcPr>
          <w:p w14:paraId="503FDADA"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1,800</w:t>
            </w:r>
          </w:p>
        </w:tc>
        <w:tc>
          <w:tcPr>
            <w:tcW w:w="866" w:type="dxa"/>
            <w:vAlign w:val="center"/>
          </w:tcPr>
          <w:p w14:paraId="3CBBAC65"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1,800</w:t>
            </w:r>
          </w:p>
        </w:tc>
        <w:tc>
          <w:tcPr>
            <w:tcW w:w="941" w:type="dxa"/>
            <w:vAlign w:val="center"/>
          </w:tcPr>
          <w:p w14:paraId="06D1784F"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1,930</w:t>
            </w:r>
          </w:p>
        </w:tc>
        <w:tc>
          <w:tcPr>
            <w:tcW w:w="866" w:type="dxa"/>
            <w:vAlign w:val="center"/>
          </w:tcPr>
          <w:p w14:paraId="2D012B78"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1,960</w:t>
            </w:r>
          </w:p>
        </w:tc>
        <w:tc>
          <w:tcPr>
            <w:tcW w:w="866" w:type="dxa"/>
            <w:vAlign w:val="center"/>
          </w:tcPr>
          <w:p w14:paraId="20ED59FC"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2,110</w:t>
            </w:r>
          </w:p>
        </w:tc>
        <w:tc>
          <w:tcPr>
            <w:tcW w:w="866" w:type="dxa"/>
            <w:vAlign w:val="center"/>
          </w:tcPr>
          <w:p w14:paraId="4CA1E5A6"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2,370</w:t>
            </w:r>
          </w:p>
        </w:tc>
        <w:tc>
          <w:tcPr>
            <w:tcW w:w="942" w:type="dxa"/>
            <w:vAlign w:val="center"/>
          </w:tcPr>
          <w:p w14:paraId="79F3E79E"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2,760</w:t>
            </w:r>
          </w:p>
        </w:tc>
        <w:tc>
          <w:tcPr>
            <w:tcW w:w="866" w:type="dxa"/>
            <w:vAlign w:val="center"/>
          </w:tcPr>
          <w:p w14:paraId="1D09A232"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2,620</w:t>
            </w:r>
          </w:p>
        </w:tc>
        <w:tc>
          <w:tcPr>
            <w:tcW w:w="1178" w:type="dxa"/>
            <w:vAlign w:val="center"/>
          </w:tcPr>
          <w:p w14:paraId="15A00D24"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p>
        </w:tc>
      </w:tr>
      <w:tr w:rsidR="000B3CB7" w:rsidRPr="00E814B5" w14:paraId="2309E416" w14:textId="77777777" w:rsidTr="00C264D2">
        <w:trPr>
          <w:trHeight w:val="300"/>
        </w:trPr>
        <w:tc>
          <w:tcPr>
            <w:tcW w:w="3838" w:type="dxa"/>
            <w:vAlign w:val="center"/>
          </w:tcPr>
          <w:p w14:paraId="79F20A73" w14:textId="77777777" w:rsidR="000B3CB7" w:rsidRPr="00E814B5" w:rsidRDefault="000B3CB7" w:rsidP="00C264D2">
            <w:pPr>
              <w:autoSpaceDE w:val="0"/>
              <w:autoSpaceDN w:val="0"/>
              <w:adjustRightInd w:val="0"/>
              <w:spacing w:line="480" w:lineRule="auto"/>
              <w:rPr>
                <w:rFonts w:cs="Times New Roman"/>
                <w:color w:val="000000"/>
                <w:sz w:val="20"/>
                <w:szCs w:val="20"/>
              </w:rPr>
            </w:pPr>
            <w:r w:rsidRPr="00E814B5">
              <w:rPr>
                <w:rFonts w:cs="Times New Roman"/>
                <w:color w:val="000000"/>
                <w:sz w:val="20"/>
                <w:szCs w:val="20"/>
              </w:rPr>
              <w:t>International Trade</w:t>
            </w:r>
          </w:p>
        </w:tc>
        <w:tc>
          <w:tcPr>
            <w:tcW w:w="987" w:type="dxa"/>
            <w:vAlign w:val="center"/>
          </w:tcPr>
          <w:p w14:paraId="5587D9DC"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w:t>
            </w:r>
          </w:p>
        </w:tc>
        <w:tc>
          <w:tcPr>
            <w:tcW w:w="866" w:type="dxa"/>
            <w:vAlign w:val="center"/>
          </w:tcPr>
          <w:p w14:paraId="57BD9EF8"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w:t>
            </w:r>
          </w:p>
        </w:tc>
        <w:tc>
          <w:tcPr>
            <w:tcW w:w="866" w:type="dxa"/>
            <w:vAlign w:val="center"/>
          </w:tcPr>
          <w:p w14:paraId="208865F7"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w:t>
            </w:r>
          </w:p>
        </w:tc>
        <w:tc>
          <w:tcPr>
            <w:tcW w:w="866" w:type="dxa"/>
            <w:vAlign w:val="center"/>
          </w:tcPr>
          <w:p w14:paraId="2BBC6E5A"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w:t>
            </w:r>
          </w:p>
        </w:tc>
        <w:tc>
          <w:tcPr>
            <w:tcW w:w="941" w:type="dxa"/>
            <w:vAlign w:val="center"/>
          </w:tcPr>
          <w:p w14:paraId="76E24051"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w:t>
            </w:r>
          </w:p>
        </w:tc>
        <w:tc>
          <w:tcPr>
            <w:tcW w:w="866" w:type="dxa"/>
            <w:vAlign w:val="center"/>
          </w:tcPr>
          <w:p w14:paraId="60CA6A85"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w:t>
            </w:r>
          </w:p>
        </w:tc>
        <w:tc>
          <w:tcPr>
            <w:tcW w:w="866" w:type="dxa"/>
            <w:vAlign w:val="center"/>
          </w:tcPr>
          <w:p w14:paraId="50655D56"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1,060</w:t>
            </w:r>
          </w:p>
        </w:tc>
        <w:tc>
          <w:tcPr>
            <w:tcW w:w="866" w:type="dxa"/>
            <w:vAlign w:val="center"/>
          </w:tcPr>
          <w:p w14:paraId="5BBA9118"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1,430</w:t>
            </w:r>
          </w:p>
        </w:tc>
        <w:tc>
          <w:tcPr>
            <w:tcW w:w="942" w:type="dxa"/>
            <w:vAlign w:val="center"/>
          </w:tcPr>
          <w:p w14:paraId="1F5D324B"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1,670</w:t>
            </w:r>
          </w:p>
        </w:tc>
        <w:tc>
          <w:tcPr>
            <w:tcW w:w="866" w:type="dxa"/>
            <w:vAlign w:val="center"/>
          </w:tcPr>
          <w:p w14:paraId="555F224A"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2,160</w:t>
            </w:r>
          </w:p>
        </w:tc>
        <w:tc>
          <w:tcPr>
            <w:tcW w:w="1178" w:type="dxa"/>
            <w:vAlign w:val="center"/>
          </w:tcPr>
          <w:p w14:paraId="3DB34FD1"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2,640</w:t>
            </w:r>
          </w:p>
        </w:tc>
      </w:tr>
      <w:tr w:rsidR="000B3CB7" w:rsidRPr="00E814B5" w14:paraId="602A64A0" w14:textId="77777777" w:rsidTr="00C264D2">
        <w:trPr>
          <w:trHeight w:val="300"/>
        </w:trPr>
        <w:tc>
          <w:tcPr>
            <w:tcW w:w="3838" w:type="dxa"/>
            <w:vAlign w:val="center"/>
          </w:tcPr>
          <w:p w14:paraId="4D7FEDB1" w14:textId="77777777" w:rsidR="000B3CB7" w:rsidRPr="00E814B5" w:rsidRDefault="000B3CB7" w:rsidP="00C264D2">
            <w:pPr>
              <w:autoSpaceDE w:val="0"/>
              <w:autoSpaceDN w:val="0"/>
              <w:adjustRightInd w:val="0"/>
              <w:spacing w:line="480" w:lineRule="auto"/>
              <w:rPr>
                <w:rFonts w:cs="Times New Roman"/>
                <w:color w:val="000000"/>
                <w:sz w:val="20"/>
                <w:szCs w:val="20"/>
              </w:rPr>
            </w:pPr>
            <w:r w:rsidRPr="00E814B5">
              <w:rPr>
                <w:rFonts w:cs="Times New Roman"/>
                <w:color w:val="000000"/>
                <w:sz w:val="20"/>
                <w:szCs w:val="20"/>
              </w:rPr>
              <w:lastRenderedPageBreak/>
              <w:t>Justice</w:t>
            </w:r>
          </w:p>
        </w:tc>
        <w:tc>
          <w:tcPr>
            <w:tcW w:w="987" w:type="dxa"/>
            <w:vAlign w:val="center"/>
          </w:tcPr>
          <w:p w14:paraId="3FCE8700"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77,190</w:t>
            </w:r>
          </w:p>
        </w:tc>
        <w:tc>
          <w:tcPr>
            <w:tcW w:w="866" w:type="dxa"/>
            <w:vAlign w:val="center"/>
          </w:tcPr>
          <w:p w14:paraId="711DF3D2"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71,200</w:t>
            </w:r>
          </w:p>
        </w:tc>
        <w:tc>
          <w:tcPr>
            <w:tcW w:w="866" w:type="dxa"/>
            <w:vAlign w:val="center"/>
          </w:tcPr>
          <w:p w14:paraId="251FC3EA"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66,320</w:t>
            </w:r>
          </w:p>
        </w:tc>
        <w:tc>
          <w:tcPr>
            <w:tcW w:w="866" w:type="dxa"/>
            <w:vAlign w:val="center"/>
          </w:tcPr>
          <w:p w14:paraId="4EABAEF7"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62,320</w:t>
            </w:r>
          </w:p>
        </w:tc>
        <w:tc>
          <w:tcPr>
            <w:tcW w:w="941" w:type="dxa"/>
            <w:vAlign w:val="center"/>
          </w:tcPr>
          <w:p w14:paraId="2B641418"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70,270</w:t>
            </w:r>
          </w:p>
        </w:tc>
        <w:tc>
          <w:tcPr>
            <w:tcW w:w="866" w:type="dxa"/>
            <w:vAlign w:val="center"/>
          </w:tcPr>
          <w:p w14:paraId="3963B8CE"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68,050</w:t>
            </w:r>
          </w:p>
        </w:tc>
        <w:tc>
          <w:tcPr>
            <w:tcW w:w="866" w:type="dxa"/>
            <w:vAlign w:val="center"/>
          </w:tcPr>
          <w:p w14:paraId="41B599BE"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67,090</w:t>
            </w:r>
          </w:p>
        </w:tc>
        <w:tc>
          <w:tcPr>
            <w:tcW w:w="866" w:type="dxa"/>
            <w:vAlign w:val="center"/>
          </w:tcPr>
          <w:p w14:paraId="6ED7DEDE"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70,670</w:t>
            </w:r>
          </w:p>
        </w:tc>
        <w:tc>
          <w:tcPr>
            <w:tcW w:w="942" w:type="dxa"/>
            <w:vAlign w:val="center"/>
          </w:tcPr>
          <w:p w14:paraId="6A8DEA79"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74,360</w:t>
            </w:r>
          </w:p>
        </w:tc>
        <w:tc>
          <w:tcPr>
            <w:tcW w:w="866" w:type="dxa"/>
            <w:vAlign w:val="center"/>
          </w:tcPr>
          <w:p w14:paraId="61691FA9"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74,970</w:t>
            </w:r>
          </w:p>
        </w:tc>
        <w:tc>
          <w:tcPr>
            <w:tcW w:w="1178" w:type="dxa"/>
            <w:vAlign w:val="center"/>
          </w:tcPr>
          <w:p w14:paraId="18F09254"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76,280</w:t>
            </w:r>
          </w:p>
        </w:tc>
      </w:tr>
      <w:tr w:rsidR="000B3CB7" w:rsidRPr="00E814B5" w14:paraId="7574F17E" w14:textId="77777777" w:rsidTr="00C264D2">
        <w:trPr>
          <w:trHeight w:val="300"/>
        </w:trPr>
        <w:tc>
          <w:tcPr>
            <w:tcW w:w="3838" w:type="dxa"/>
            <w:vAlign w:val="center"/>
          </w:tcPr>
          <w:p w14:paraId="55632C3C" w14:textId="77777777" w:rsidR="000B3CB7" w:rsidRPr="00E814B5" w:rsidRDefault="000B3CB7" w:rsidP="00C264D2">
            <w:pPr>
              <w:autoSpaceDE w:val="0"/>
              <w:autoSpaceDN w:val="0"/>
              <w:adjustRightInd w:val="0"/>
              <w:spacing w:line="480" w:lineRule="auto"/>
              <w:rPr>
                <w:rFonts w:cs="Times New Roman"/>
                <w:color w:val="000000"/>
                <w:sz w:val="20"/>
                <w:szCs w:val="20"/>
              </w:rPr>
            </w:pPr>
            <w:r w:rsidRPr="00E814B5">
              <w:rPr>
                <w:rFonts w:cs="Times New Roman"/>
                <w:color w:val="000000"/>
                <w:sz w:val="20"/>
                <w:szCs w:val="20"/>
              </w:rPr>
              <w:t>Transport</w:t>
            </w:r>
          </w:p>
        </w:tc>
        <w:tc>
          <w:tcPr>
            <w:tcW w:w="987" w:type="dxa"/>
            <w:vAlign w:val="center"/>
          </w:tcPr>
          <w:p w14:paraId="58A4D908"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17,420</w:t>
            </w:r>
          </w:p>
        </w:tc>
        <w:tc>
          <w:tcPr>
            <w:tcW w:w="866" w:type="dxa"/>
            <w:vAlign w:val="center"/>
          </w:tcPr>
          <w:p w14:paraId="4726DC93"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17,670</w:t>
            </w:r>
          </w:p>
        </w:tc>
        <w:tc>
          <w:tcPr>
            <w:tcW w:w="866" w:type="dxa"/>
            <w:vAlign w:val="center"/>
          </w:tcPr>
          <w:p w14:paraId="38E8D6FC"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17,660</w:t>
            </w:r>
          </w:p>
        </w:tc>
        <w:tc>
          <w:tcPr>
            <w:tcW w:w="866" w:type="dxa"/>
            <w:vAlign w:val="center"/>
          </w:tcPr>
          <w:p w14:paraId="578C4462"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16,900</w:t>
            </w:r>
          </w:p>
        </w:tc>
        <w:tc>
          <w:tcPr>
            <w:tcW w:w="941" w:type="dxa"/>
            <w:vAlign w:val="center"/>
          </w:tcPr>
          <w:p w14:paraId="3B283E57"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17,230</w:t>
            </w:r>
          </w:p>
        </w:tc>
        <w:tc>
          <w:tcPr>
            <w:tcW w:w="866" w:type="dxa"/>
            <w:vAlign w:val="center"/>
          </w:tcPr>
          <w:p w14:paraId="11EC682D"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13,910</w:t>
            </w:r>
          </w:p>
        </w:tc>
        <w:tc>
          <w:tcPr>
            <w:tcW w:w="866" w:type="dxa"/>
            <w:vAlign w:val="center"/>
          </w:tcPr>
          <w:p w14:paraId="35652E49"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13,890</w:t>
            </w:r>
          </w:p>
        </w:tc>
        <w:tc>
          <w:tcPr>
            <w:tcW w:w="866" w:type="dxa"/>
            <w:vAlign w:val="center"/>
          </w:tcPr>
          <w:p w14:paraId="05AD793F"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14,180</w:t>
            </w:r>
          </w:p>
        </w:tc>
        <w:tc>
          <w:tcPr>
            <w:tcW w:w="942" w:type="dxa"/>
            <w:vAlign w:val="center"/>
          </w:tcPr>
          <w:p w14:paraId="6B110761"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14,650</w:t>
            </w:r>
          </w:p>
        </w:tc>
        <w:tc>
          <w:tcPr>
            <w:tcW w:w="866" w:type="dxa"/>
            <w:vAlign w:val="center"/>
          </w:tcPr>
          <w:p w14:paraId="0754F580"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14,940</w:t>
            </w:r>
          </w:p>
        </w:tc>
        <w:tc>
          <w:tcPr>
            <w:tcW w:w="1178" w:type="dxa"/>
            <w:vAlign w:val="center"/>
          </w:tcPr>
          <w:p w14:paraId="615ADA48"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15,330</w:t>
            </w:r>
          </w:p>
        </w:tc>
      </w:tr>
      <w:tr w:rsidR="000B3CB7" w:rsidRPr="00E814B5" w14:paraId="42A6F37B" w14:textId="77777777" w:rsidTr="00C264D2">
        <w:trPr>
          <w:trHeight w:val="300"/>
        </w:trPr>
        <w:tc>
          <w:tcPr>
            <w:tcW w:w="3838" w:type="dxa"/>
            <w:vAlign w:val="center"/>
          </w:tcPr>
          <w:p w14:paraId="226159D9" w14:textId="77777777" w:rsidR="000B3CB7" w:rsidRPr="00E814B5" w:rsidRDefault="000B3CB7" w:rsidP="00C264D2">
            <w:pPr>
              <w:autoSpaceDE w:val="0"/>
              <w:autoSpaceDN w:val="0"/>
              <w:adjustRightInd w:val="0"/>
              <w:spacing w:line="480" w:lineRule="auto"/>
              <w:rPr>
                <w:rFonts w:cs="Times New Roman"/>
                <w:color w:val="000000"/>
                <w:sz w:val="20"/>
                <w:szCs w:val="20"/>
              </w:rPr>
            </w:pPr>
            <w:r w:rsidRPr="00E814B5">
              <w:rPr>
                <w:rFonts w:cs="Times New Roman"/>
                <w:color w:val="000000"/>
                <w:sz w:val="20"/>
                <w:szCs w:val="20"/>
              </w:rPr>
              <w:t>Work and Pensions</w:t>
            </w:r>
          </w:p>
        </w:tc>
        <w:tc>
          <w:tcPr>
            <w:tcW w:w="987" w:type="dxa"/>
            <w:vAlign w:val="center"/>
          </w:tcPr>
          <w:p w14:paraId="0BC0A30A"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109,080</w:t>
            </w:r>
          </w:p>
        </w:tc>
        <w:tc>
          <w:tcPr>
            <w:tcW w:w="866" w:type="dxa"/>
            <w:vAlign w:val="center"/>
          </w:tcPr>
          <w:p w14:paraId="783B7BDD"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111,580</w:t>
            </w:r>
          </w:p>
        </w:tc>
        <w:tc>
          <w:tcPr>
            <w:tcW w:w="866" w:type="dxa"/>
            <w:vAlign w:val="center"/>
          </w:tcPr>
          <w:p w14:paraId="1D0BC732"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107,210</w:t>
            </w:r>
          </w:p>
        </w:tc>
        <w:tc>
          <w:tcPr>
            <w:tcW w:w="866" w:type="dxa"/>
            <w:vAlign w:val="center"/>
          </w:tcPr>
          <w:p w14:paraId="67E59105"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98,970</w:t>
            </w:r>
          </w:p>
        </w:tc>
        <w:tc>
          <w:tcPr>
            <w:tcW w:w="941" w:type="dxa"/>
            <w:vAlign w:val="center"/>
          </w:tcPr>
          <w:p w14:paraId="6CF94E12"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91,760</w:t>
            </w:r>
          </w:p>
        </w:tc>
        <w:tc>
          <w:tcPr>
            <w:tcW w:w="866" w:type="dxa"/>
            <w:vAlign w:val="center"/>
          </w:tcPr>
          <w:p w14:paraId="3334FFE7"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86,890</w:t>
            </w:r>
          </w:p>
        </w:tc>
        <w:tc>
          <w:tcPr>
            <w:tcW w:w="866" w:type="dxa"/>
            <w:vAlign w:val="center"/>
          </w:tcPr>
          <w:p w14:paraId="134A0209"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86,020</w:t>
            </w:r>
          </w:p>
        </w:tc>
        <w:tc>
          <w:tcPr>
            <w:tcW w:w="866" w:type="dxa"/>
            <w:vAlign w:val="center"/>
          </w:tcPr>
          <w:p w14:paraId="193CC0D4"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85,210</w:t>
            </w:r>
          </w:p>
        </w:tc>
        <w:tc>
          <w:tcPr>
            <w:tcW w:w="942" w:type="dxa"/>
            <w:vAlign w:val="center"/>
          </w:tcPr>
          <w:p w14:paraId="4ABE4946"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84,490</w:t>
            </w:r>
          </w:p>
        </w:tc>
        <w:tc>
          <w:tcPr>
            <w:tcW w:w="866" w:type="dxa"/>
            <w:vAlign w:val="center"/>
          </w:tcPr>
          <w:p w14:paraId="010DEE7B"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80,400</w:t>
            </w:r>
          </w:p>
        </w:tc>
        <w:tc>
          <w:tcPr>
            <w:tcW w:w="1178" w:type="dxa"/>
            <w:vAlign w:val="center"/>
          </w:tcPr>
          <w:p w14:paraId="0E829551" w14:textId="77777777" w:rsidR="000B3CB7" w:rsidRPr="00E814B5" w:rsidRDefault="000B3CB7" w:rsidP="00C264D2">
            <w:pPr>
              <w:autoSpaceDE w:val="0"/>
              <w:autoSpaceDN w:val="0"/>
              <w:adjustRightInd w:val="0"/>
              <w:spacing w:line="480" w:lineRule="auto"/>
              <w:jc w:val="center"/>
              <w:rPr>
                <w:rFonts w:cs="Times New Roman"/>
                <w:color w:val="000000"/>
                <w:sz w:val="20"/>
                <w:szCs w:val="20"/>
              </w:rPr>
            </w:pPr>
            <w:r w:rsidRPr="00E814B5">
              <w:rPr>
                <w:rFonts w:cs="Times New Roman"/>
                <w:color w:val="000000"/>
                <w:sz w:val="20"/>
                <w:szCs w:val="20"/>
              </w:rPr>
              <w:t>81,990</w:t>
            </w:r>
          </w:p>
        </w:tc>
      </w:tr>
      <w:tr w:rsidR="000B3CB7" w:rsidRPr="00E814B5" w14:paraId="3D7694A8" w14:textId="77777777" w:rsidTr="00C264D2">
        <w:trPr>
          <w:trHeight w:val="300"/>
        </w:trPr>
        <w:tc>
          <w:tcPr>
            <w:tcW w:w="3838" w:type="dxa"/>
            <w:vAlign w:val="center"/>
          </w:tcPr>
          <w:p w14:paraId="19D79DB9" w14:textId="77777777" w:rsidR="000B3CB7" w:rsidRPr="00E814B5" w:rsidRDefault="000B3CB7" w:rsidP="00C264D2">
            <w:pPr>
              <w:autoSpaceDE w:val="0"/>
              <w:autoSpaceDN w:val="0"/>
              <w:adjustRightInd w:val="0"/>
              <w:spacing w:line="480" w:lineRule="auto"/>
              <w:rPr>
                <w:rFonts w:cs="Times New Roman"/>
                <w:b/>
                <w:bCs/>
                <w:color w:val="000000"/>
                <w:sz w:val="20"/>
                <w:szCs w:val="20"/>
              </w:rPr>
            </w:pPr>
            <w:r w:rsidRPr="00E814B5">
              <w:rPr>
                <w:rFonts w:cs="Times New Roman"/>
                <w:b/>
                <w:bCs/>
                <w:color w:val="000000"/>
                <w:sz w:val="20"/>
                <w:szCs w:val="20"/>
              </w:rPr>
              <w:t xml:space="preserve">Central Government Departments Total </w:t>
            </w:r>
          </w:p>
        </w:tc>
        <w:tc>
          <w:tcPr>
            <w:tcW w:w="987" w:type="dxa"/>
            <w:vAlign w:val="center"/>
          </w:tcPr>
          <w:p w14:paraId="7FCA90E1" w14:textId="77777777" w:rsidR="000B3CB7" w:rsidRPr="00A46BF8" w:rsidRDefault="000B3CB7" w:rsidP="00C264D2">
            <w:pPr>
              <w:autoSpaceDE w:val="0"/>
              <w:autoSpaceDN w:val="0"/>
              <w:adjustRightInd w:val="0"/>
              <w:spacing w:line="480" w:lineRule="auto"/>
              <w:jc w:val="center"/>
              <w:rPr>
                <w:rFonts w:cs="Times New Roman"/>
                <w:b/>
                <w:bCs/>
                <w:color w:val="000000"/>
                <w:sz w:val="20"/>
                <w:szCs w:val="20"/>
              </w:rPr>
            </w:pPr>
            <w:r w:rsidRPr="00A46BF8">
              <w:rPr>
                <w:rFonts w:cs="Times New Roman"/>
                <w:b/>
                <w:bCs/>
                <w:color w:val="000000"/>
                <w:sz w:val="20"/>
                <w:szCs w:val="20"/>
              </w:rPr>
              <w:t>437,560</w:t>
            </w:r>
          </w:p>
        </w:tc>
        <w:tc>
          <w:tcPr>
            <w:tcW w:w="866" w:type="dxa"/>
            <w:vAlign w:val="center"/>
          </w:tcPr>
          <w:p w14:paraId="1924FD4E" w14:textId="77777777" w:rsidR="000B3CB7" w:rsidRPr="00A46BF8" w:rsidRDefault="000B3CB7" w:rsidP="00C264D2">
            <w:pPr>
              <w:autoSpaceDE w:val="0"/>
              <w:autoSpaceDN w:val="0"/>
              <w:adjustRightInd w:val="0"/>
              <w:spacing w:line="480" w:lineRule="auto"/>
              <w:jc w:val="center"/>
              <w:rPr>
                <w:rFonts w:cs="Times New Roman"/>
                <w:b/>
                <w:bCs/>
                <w:color w:val="000000"/>
                <w:sz w:val="20"/>
                <w:szCs w:val="20"/>
              </w:rPr>
            </w:pPr>
            <w:r w:rsidRPr="00A46BF8">
              <w:rPr>
                <w:rFonts w:cs="Times New Roman"/>
                <w:b/>
                <w:bCs/>
                <w:color w:val="000000"/>
                <w:sz w:val="20"/>
                <w:szCs w:val="20"/>
              </w:rPr>
              <w:t>434,980</w:t>
            </w:r>
          </w:p>
        </w:tc>
        <w:tc>
          <w:tcPr>
            <w:tcW w:w="866" w:type="dxa"/>
            <w:vAlign w:val="center"/>
          </w:tcPr>
          <w:p w14:paraId="3B164CAA" w14:textId="77777777" w:rsidR="000B3CB7" w:rsidRPr="00A46BF8" w:rsidRDefault="000B3CB7" w:rsidP="00C264D2">
            <w:pPr>
              <w:autoSpaceDE w:val="0"/>
              <w:autoSpaceDN w:val="0"/>
              <w:adjustRightInd w:val="0"/>
              <w:spacing w:line="480" w:lineRule="auto"/>
              <w:jc w:val="center"/>
              <w:rPr>
                <w:rFonts w:cs="Times New Roman"/>
                <w:b/>
                <w:bCs/>
                <w:color w:val="000000"/>
                <w:sz w:val="20"/>
                <w:szCs w:val="20"/>
              </w:rPr>
            </w:pPr>
            <w:r w:rsidRPr="00A46BF8">
              <w:rPr>
                <w:rFonts w:cs="Times New Roman"/>
                <w:b/>
                <w:bCs/>
                <w:color w:val="000000"/>
                <w:sz w:val="20"/>
                <w:szCs w:val="20"/>
              </w:rPr>
              <w:t>422,190</w:t>
            </w:r>
          </w:p>
        </w:tc>
        <w:tc>
          <w:tcPr>
            <w:tcW w:w="866" w:type="dxa"/>
            <w:vAlign w:val="center"/>
          </w:tcPr>
          <w:p w14:paraId="6187D97E" w14:textId="77777777" w:rsidR="000B3CB7" w:rsidRPr="00A46BF8" w:rsidRDefault="000B3CB7" w:rsidP="00C264D2">
            <w:pPr>
              <w:autoSpaceDE w:val="0"/>
              <w:autoSpaceDN w:val="0"/>
              <w:adjustRightInd w:val="0"/>
              <w:spacing w:line="480" w:lineRule="auto"/>
              <w:jc w:val="center"/>
              <w:rPr>
                <w:rFonts w:cs="Times New Roman"/>
                <w:b/>
                <w:bCs/>
                <w:color w:val="000000"/>
                <w:sz w:val="20"/>
                <w:szCs w:val="20"/>
              </w:rPr>
            </w:pPr>
            <w:r w:rsidRPr="00A46BF8">
              <w:rPr>
                <w:rFonts w:cs="Times New Roman"/>
                <w:b/>
                <w:bCs/>
                <w:color w:val="000000"/>
                <w:sz w:val="20"/>
                <w:szCs w:val="20"/>
              </w:rPr>
              <w:t>412,940</w:t>
            </w:r>
          </w:p>
        </w:tc>
        <w:tc>
          <w:tcPr>
            <w:tcW w:w="941" w:type="dxa"/>
            <w:vAlign w:val="center"/>
          </w:tcPr>
          <w:p w14:paraId="33AF9868" w14:textId="77777777" w:rsidR="000B3CB7" w:rsidRPr="00A46BF8" w:rsidRDefault="000B3CB7" w:rsidP="00C264D2">
            <w:pPr>
              <w:autoSpaceDE w:val="0"/>
              <w:autoSpaceDN w:val="0"/>
              <w:adjustRightInd w:val="0"/>
              <w:spacing w:line="480" w:lineRule="auto"/>
              <w:jc w:val="center"/>
              <w:rPr>
                <w:rFonts w:cs="Times New Roman"/>
                <w:b/>
                <w:bCs/>
                <w:color w:val="000000"/>
                <w:sz w:val="20"/>
                <w:szCs w:val="20"/>
              </w:rPr>
            </w:pPr>
            <w:r w:rsidRPr="00A46BF8">
              <w:rPr>
                <w:rFonts w:cs="Times New Roman"/>
                <w:b/>
                <w:bCs/>
                <w:color w:val="000000"/>
                <w:sz w:val="20"/>
                <w:szCs w:val="20"/>
              </w:rPr>
              <w:t>410,570</w:t>
            </w:r>
          </w:p>
        </w:tc>
        <w:tc>
          <w:tcPr>
            <w:tcW w:w="866" w:type="dxa"/>
            <w:vAlign w:val="center"/>
          </w:tcPr>
          <w:p w14:paraId="72769B41" w14:textId="77777777" w:rsidR="000B3CB7" w:rsidRPr="00A46BF8" w:rsidRDefault="000B3CB7" w:rsidP="00C264D2">
            <w:pPr>
              <w:autoSpaceDE w:val="0"/>
              <w:autoSpaceDN w:val="0"/>
              <w:adjustRightInd w:val="0"/>
              <w:spacing w:line="480" w:lineRule="auto"/>
              <w:jc w:val="center"/>
              <w:rPr>
                <w:rFonts w:cs="Times New Roman"/>
                <w:b/>
                <w:bCs/>
                <w:color w:val="000000"/>
                <w:sz w:val="20"/>
                <w:szCs w:val="20"/>
              </w:rPr>
            </w:pPr>
            <w:r w:rsidRPr="00A46BF8">
              <w:rPr>
                <w:rFonts w:cs="Times New Roman"/>
                <w:b/>
                <w:bCs/>
                <w:color w:val="000000"/>
                <w:sz w:val="20"/>
                <w:szCs w:val="20"/>
              </w:rPr>
              <w:t>397,160</w:t>
            </w:r>
          </w:p>
        </w:tc>
        <w:tc>
          <w:tcPr>
            <w:tcW w:w="866" w:type="dxa"/>
            <w:vAlign w:val="center"/>
          </w:tcPr>
          <w:p w14:paraId="4B2F05C6" w14:textId="77777777" w:rsidR="000B3CB7" w:rsidRPr="00A46BF8" w:rsidRDefault="000B3CB7" w:rsidP="00C264D2">
            <w:pPr>
              <w:autoSpaceDE w:val="0"/>
              <w:autoSpaceDN w:val="0"/>
              <w:adjustRightInd w:val="0"/>
              <w:spacing w:line="480" w:lineRule="auto"/>
              <w:jc w:val="center"/>
              <w:rPr>
                <w:rFonts w:cs="Times New Roman"/>
                <w:b/>
                <w:bCs/>
                <w:color w:val="000000"/>
                <w:sz w:val="20"/>
                <w:szCs w:val="20"/>
              </w:rPr>
            </w:pPr>
            <w:r w:rsidRPr="00A46BF8">
              <w:rPr>
                <w:rFonts w:cs="Times New Roman"/>
                <w:b/>
                <w:bCs/>
                <w:color w:val="000000"/>
                <w:sz w:val="20"/>
                <w:szCs w:val="20"/>
              </w:rPr>
              <w:t>392,960</w:t>
            </w:r>
          </w:p>
        </w:tc>
        <w:tc>
          <w:tcPr>
            <w:tcW w:w="866" w:type="dxa"/>
            <w:vAlign w:val="center"/>
          </w:tcPr>
          <w:p w14:paraId="65FD4BD4" w14:textId="77777777" w:rsidR="000B3CB7" w:rsidRPr="00A46BF8" w:rsidRDefault="000B3CB7" w:rsidP="00C264D2">
            <w:pPr>
              <w:autoSpaceDE w:val="0"/>
              <w:autoSpaceDN w:val="0"/>
              <w:adjustRightInd w:val="0"/>
              <w:spacing w:line="480" w:lineRule="auto"/>
              <w:jc w:val="center"/>
              <w:rPr>
                <w:rFonts w:cs="Times New Roman"/>
                <w:b/>
                <w:bCs/>
                <w:color w:val="000000"/>
                <w:sz w:val="20"/>
                <w:szCs w:val="20"/>
              </w:rPr>
            </w:pPr>
            <w:r w:rsidRPr="00A46BF8">
              <w:rPr>
                <w:rFonts w:cs="Times New Roman"/>
                <w:b/>
                <w:bCs/>
                <w:color w:val="000000"/>
                <w:sz w:val="20"/>
                <w:szCs w:val="20"/>
              </w:rPr>
              <w:t>401,290</w:t>
            </w:r>
          </w:p>
        </w:tc>
        <w:tc>
          <w:tcPr>
            <w:tcW w:w="942" w:type="dxa"/>
            <w:vAlign w:val="center"/>
          </w:tcPr>
          <w:p w14:paraId="4152E81F" w14:textId="77777777" w:rsidR="000B3CB7" w:rsidRPr="00A46BF8" w:rsidRDefault="000B3CB7" w:rsidP="00C264D2">
            <w:pPr>
              <w:autoSpaceDE w:val="0"/>
              <w:autoSpaceDN w:val="0"/>
              <w:adjustRightInd w:val="0"/>
              <w:spacing w:line="480" w:lineRule="auto"/>
              <w:jc w:val="center"/>
              <w:rPr>
                <w:rFonts w:cs="Times New Roman"/>
                <w:b/>
                <w:bCs/>
                <w:color w:val="000000"/>
                <w:sz w:val="20"/>
                <w:szCs w:val="20"/>
              </w:rPr>
            </w:pPr>
            <w:r w:rsidRPr="00A46BF8">
              <w:rPr>
                <w:rFonts w:cs="Times New Roman"/>
                <w:b/>
                <w:bCs/>
                <w:color w:val="000000"/>
                <w:sz w:val="20"/>
                <w:szCs w:val="20"/>
              </w:rPr>
              <w:t>416,550</w:t>
            </w:r>
          </w:p>
        </w:tc>
        <w:tc>
          <w:tcPr>
            <w:tcW w:w="866" w:type="dxa"/>
            <w:vAlign w:val="center"/>
          </w:tcPr>
          <w:p w14:paraId="249FBA84" w14:textId="77777777" w:rsidR="000B3CB7" w:rsidRPr="00A46BF8" w:rsidRDefault="000B3CB7" w:rsidP="00C264D2">
            <w:pPr>
              <w:autoSpaceDE w:val="0"/>
              <w:autoSpaceDN w:val="0"/>
              <w:adjustRightInd w:val="0"/>
              <w:spacing w:line="480" w:lineRule="auto"/>
              <w:jc w:val="center"/>
              <w:rPr>
                <w:rFonts w:cs="Times New Roman"/>
                <w:b/>
                <w:bCs/>
                <w:color w:val="000000"/>
                <w:sz w:val="20"/>
                <w:szCs w:val="20"/>
              </w:rPr>
            </w:pPr>
            <w:r w:rsidRPr="00A46BF8">
              <w:rPr>
                <w:rFonts w:cs="Times New Roman"/>
                <w:b/>
                <w:bCs/>
                <w:color w:val="000000"/>
                <w:sz w:val="20"/>
                <w:szCs w:val="20"/>
              </w:rPr>
              <w:t>422,740</w:t>
            </w:r>
          </w:p>
        </w:tc>
        <w:tc>
          <w:tcPr>
            <w:tcW w:w="1178" w:type="dxa"/>
            <w:vAlign w:val="center"/>
          </w:tcPr>
          <w:p w14:paraId="1EC317D9" w14:textId="77777777" w:rsidR="000B3CB7" w:rsidRPr="00A46BF8" w:rsidRDefault="000B3CB7" w:rsidP="00C264D2">
            <w:pPr>
              <w:autoSpaceDE w:val="0"/>
              <w:autoSpaceDN w:val="0"/>
              <w:adjustRightInd w:val="0"/>
              <w:spacing w:line="480" w:lineRule="auto"/>
              <w:jc w:val="center"/>
              <w:rPr>
                <w:rFonts w:cs="Times New Roman"/>
                <w:b/>
                <w:bCs/>
                <w:color w:val="000000"/>
                <w:sz w:val="20"/>
                <w:szCs w:val="20"/>
              </w:rPr>
            </w:pPr>
            <w:r w:rsidRPr="00A46BF8">
              <w:rPr>
                <w:rFonts w:cs="Times New Roman"/>
                <w:b/>
                <w:bCs/>
                <w:color w:val="000000"/>
                <w:sz w:val="20"/>
                <w:szCs w:val="20"/>
              </w:rPr>
              <w:t>434,410</w:t>
            </w:r>
          </w:p>
        </w:tc>
      </w:tr>
    </w:tbl>
    <w:p w14:paraId="0931CD0C" w14:textId="77777777" w:rsidR="000B3CB7" w:rsidRPr="009F5914" w:rsidRDefault="000B3CB7" w:rsidP="000B3CB7">
      <w:pPr>
        <w:spacing w:line="480" w:lineRule="auto"/>
        <w:rPr>
          <w:b/>
          <w:bCs/>
        </w:rPr>
      </w:pPr>
      <w:r w:rsidRPr="009F5914">
        <w:rPr>
          <w:b/>
          <w:bCs/>
        </w:rPr>
        <w:t>Table 2: Civil service headcount across core departments in first quarter, 2011 - 2020</w:t>
      </w:r>
    </w:p>
    <w:p w14:paraId="5693FAEF" w14:textId="77777777" w:rsidR="000B3CB7" w:rsidRDefault="000B3CB7" w:rsidP="000B3CB7">
      <w:pPr>
        <w:spacing w:line="480" w:lineRule="auto"/>
        <w:rPr>
          <w:sz w:val="20"/>
          <w:szCs w:val="20"/>
        </w:rPr>
      </w:pPr>
    </w:p>
    <w:p w14:paraId="060E77CC" w14:textId="77777777" w:rsidR="000B3CB7" w:rsidRDefault="000B3CB7" w:rsidP="000B3CB7">
      <w:pPr>
        <w:spacing w:line="480" w:lineRule="auto"/>
        <w:jc w:val="right"/>
        <w:rPr>
          <w:sz w:val="20"/>
          <w:szCs w:val="20"/>
        </w:rPr>
      </w:pPr>
      <w:r>
        <w:rPr>
          <w:sz w:val="20"/>
          <w:szCs w:val="20"/>
        </w:rPr>
        <w:t>Source: ONS Public Sector Employment Dataset</w:t>
      </w:r>
    </w:p>
    <w:p w14:paraId="74167FD5" w14:textId="77777777" w:rsidR="000B3CB7" w:rsidRDefault="000B3CB7" w:rsidP="000B3CB7">
      <w:pPr>
        <w:spacing w:line="480" w:lineRule="auto"/>
        <w:rPr>
          <w:sz w:val="20"/>
          <w:szCs w:val="20"/>
        </w:rPr>
      </w:pPr>
      <w:r>
        <w:rPr>
          <w:sz w:val="20"/>
          <w:szCs w:val="20"/>
        </w:rPr>
        <w:t>1 The Department for Business, Innovation and Skills merged with the Department of Energy and Climate Change in July 2016</w:t>
      </w:r>
    </w:p>
    <w:p w14:paraId="1E330D76" w14:textId="77777777" w:rsidR="000B3CB7" w:rsidRDefault="000B3CB7" w:rsidP="000B3CB7">
      <w:pPr>
        <w:spacing w:line="480" w:lineRule="auto"/>
        <w:rPr>
          <w:sz w:val="20"/>
          <w:szCs w:val="20"/>
        </w:rPr>
      </w:pPr>
      <w:r>
        <w:rPr>
          <w:sz w:val="20"/>
          <w:szCs w:val="20"/>
        </w:rPr>
        <w:t xml:space="preserve">2 On 31 January 2020, the Department for Exiting the European Union was closed and in February 2020, the remaining staff were moved to the Cabinet Office (580) before moving to parent departments or re-posting </w:t>
      </w:r>
      <w:proofErr w:type="gramStart"/>
      <w:r>
        <w:rPr>
          <w:sz w:val="20"/>
          <w:szCs w:val="20"/>
        </w:rPr>
        <w:t>elsewhere</w:t>
      </w:r>
      <w:proofErr w:type="gramEnd"/>
    </w:p>
    <w:p w14:paraId="27981DBE" w14:textId="77777777" w:rsidR="000B3CB7" w:rsidRDefault="000B3CB7" w:rsidP="000B3CB7">
      <w:pPr>
        <w:spacing w:line="480" w:lineRule="auto"/>
        <w:rPr>
          <w:sz w:val="20"/>
          <w:szCs w:val="20"/>
        </w:rPr>
      </w:pPr>
      <w:r>
        <w:rPr>
          <w:sz w:val="20"/>
          <w:szCs w:val="20"/>
        </w:rPr>
        <w:t xml:space="preserve">3 The Department for Culture, Media and Sport was renamed the Department for Digital, Culture, </w:t>
      </w:r>
      <w:proofErr w:type="gramStart"/>
      <w:r>
        <w:rPr>
          <w:sz w:val="20"/>
          <w:szCs w:val="20"/>
        </w:rPr>
        <w:t>Media</w:t>
      </w:r>
      <w:proofErr w:type="gramEnd"/>
      <w:r>
        <w:rPr>
          <w:sz w:val="20"/>
          <w:szCs w:val="20"/>
        </w:rPr>
        <w:t xml:space="preserve"> and Sport on 3 July 2017.</w:t>
      </w:r>
    </w:p>
    <w:p w14:paraId="11B9CC81" w14:textId="77777777" w:rsidR="000B3CB7" w:rsidRDefault="000B3CB7" w:rsidP="000B3CB7">
      <w:pPr>
        <w:spacing w:line="480" w:lineRule="auto"/>
        <w:rPr>
          <w:sz w:val="20"/>
          <w:szCs w:val="20"/>
        </w:rPr>
      </w:pPr>
      <w:r>
        <w:rPr>
          <w:sz w:val="20"/>
          <w:szCs w:val="20"/>
        </w:rPr>
        <w:t>4 The Foreign and Commonwealth Office and the Department for International Trade merged on 2 September 2020</w:t>
      </w:r>
    </w:p>
    <w:p w14:paraId="1FE73979" w14:textId="77777777" w:rsidR="000B3CB7" w:rsidRDefault="000B3CB7" w:rsidP="000B3CB7">
      <w:pPr>
        <w:spacing w:line="480" w:lineRule="auto"/>
        <w:rPr>
          <w:sz w:val="20"/>
          <w:szCs w:val="20"/>
        </w:rPr>
      </w:pPr>
      <w:r>
        <w:rPr>
          <w:sz w:val="20"/>
          <w:szCs w:val="20"/>
        </w:rPr>
        <w:t>5 The Department of Heath became the Department of Health and Social Care in January 2018</w:t>
      </w:r>
    </w:p>
    <w:p w14:paraId="04948AD0" w14:textId="77777777" w:rsidR="000B3CB7" w:rsidRDefault="000B3CB7" w:rsidP="000B3CB7">
      <w:pPr>
        <w:spacing w:line="480" w:lineRule="auto"/>
        <w:rPr>
          <w:sz w:val="20"/>
          <w:szCs w:val="20"/>
        </w:rPr>
        <w:sectPr w:rsidR="000B3CB7" w:rsidSect="00E47A32">
          <w:pgSz w:w="16838" w:h="11906" w:orient="landscape"/>
          <w:pgMar w:top="1440" w:right="1440" w:bottom="1440" w:left="1440" w:header="708" w:footer="708" w:gutter="0"/>
          <w:cols w:space="708"/>
          <w:docGrid w:linePitch="360"/>
        </w:sectPr>
      </w:pPr>
      <w:r>
        <w:rPr>
          <w:sz w:val="20"/>
          <w:szCs w:val="20"/>
        </w:rPr>
        <w:t>6 The Department for Communities and Local Government became the Ministry of Housing, Communities and Local Government on 8 January 2018</w:t>
      </w:r>
    </w:p>
    <w:p w14:paraId="18188A70" w14:textId="77777777" w:rsidR="00C1305E" w:rsidRDefault="00C1305E"/>
    <w:sectPr w:rsidR="00C130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7268263"/>
      <w:docPartObj>
        <w:docPartGallery w:val="Page Numbers (Bottom of Page)"/>
        <w:docPartUnique/>
      </w:docPartObj>
    </w:sdtPr>
    <w:sdtContent>
      <w:p w14:paraId="519DF559" w14:textId="77777777" w:rsidR="001E4E10" w:rsidRDefault="00000000" w:rsidP="00940F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sdtContent>
  </w:sdt>
  <w:p w14:paraId="33DA427B" w14:textId="77777777" w:rsidR="001E4E10" w:rsidRDefault="00000000" w:rsidP="00F818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5133560"/>
      <w:docPartObj>
        <w:docPartGallery w:val="Page Numbers (Bottom of Page)"/>
        <w:docPartUnique/>
      </w:docPartObj>
    </w:sdtPr>
    <w:sdtContent>
      <w:p w14:paraId="2FD0312A" w14:textId="77777777" w:rsidR="001E4E10" w:rsidRDefault="00000000" w:rsidP="00940F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FAF04C" w14:textId="77777777" w:rsidR="001E4E10" w:rsidRDefault="00000000" w:rsidP="00F81801">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CB7"/>
    <w:rsid w:val="000B3CB7"/>
    <w:rsid w:val="0092307A"/>
    <w:rsid w:val="00C13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38E4BFB"/>
  <w15:chartTrackingRefBased/>
  <w15:docId w15:val="{C4A062E6-00B1-E844-A805-5860ED06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CB7"/>
    <w:rPr>
      <w:rFonts w:ascii="Times New Roman" w:hAnsi="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3CB7"/>
    <w:pPr>
      <w:spacing w:before="100" w:beforeAutospacing="1" w:after="100" w:afterAutospacing="1"/>
    </w:pPr>
    <w:rPr>
      <w:rFonts w:eastAsia="Times New Roman" w:cs="Times New Roman"/>
      <w:lang w:eastAsia="en-GB"/>
    </w:rPr>
  </w:style>
  <w:style w:type="table" w:styleId="TableGrid">
    <w:name w:val="Table Grid"/>
    <w:basedOn w:val="TableNormal"/>
    <w:uiPriority w:val="39"/>
    <w:rsid w:val="000B3CB7"/>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0B3CB7"/>
  </w:style>
  <w:style w:type="paragraph" w:styleId="Footer">
    <w:name w:val="footer"/>
    <w:basedOn w:val="Normal"/>
    <w:link w:val="FooterChar"/>
    <w:uiPriority w:val="99"/>
    <w:unhideWhenUsed/>
    <w:rsid w:val="000B3CB7"/>
    <w:pPr>
      <w:tabs>
        <w:tab w:val="center" w:pos="4513"/>
        <w:tab w:val="right" w:pos="9026"/>
      </w:tabs>
    </w:pPr>
  </w:style>
  <w:style w:type="character" w:customStyle="1" w:styleId="FooterChar">
    <w:name w:val="Footer Char"/>
    <w:basedOn w:val="DefaultParagraphFont"/>
    <w:link w:val="Footer"/>
    <w:uiPriority w:val="99"/>
    <w:rsid w:val="000B3CB7"/>
    <w:rPr>
      <w:rFonts w:ascii="Times New Roman" w:hAnsi="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1591</Words>
  <Characters>9212</Characters>
  <Application>Microsoft Office Word</Application>
  <DocSecurity>0</DocSecurity>
  <Lines>164</Lines>
  <Paragraphs>28</Paragraphs>
  <ScaleCrop>false</ScaleCrop>
  <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Booth</dc:creator>
  <cp:keywords/>
  <dc:description/>
  <cp:lastModifiedBy>Nina Booth</cp:lastModifiedBy>
  <cp:revision>1</cp:revision>
  <dcterms:created xsi:type="dcterms:W3CDTF">2023-04-17T09:13:00Z</dcterms:created>
  <dcterms:modified xsi:type="dcterms:W3CDTF">2023-04-17T09:15:00Z</dcterms:modified>
</cp:coreProperties>
</file>